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left"/>
      </w:pPr>
    </w:p>
    <w:p>
      <w:pPr>
        <w:jc w:val="left"/>
        <w:rPr>
          <w:rFonts w:ascii="黑体" w:hAnsi="黑体" w:eastAsia="黑体"/>
          <w:sz w:val="32"/>
          <w:szCs w:val="32"/>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中国国际贸易促进委员会</w:t>
      </w:r>
    </w:p>
    <w:p>
      <w:pPr>
        <w:jc w:val="center"/>
        <w:rPr>
          <w:rFonts w:ascii="方正小标宋简体" w:hAnsi="仿宋" w:eastAsia="方正小标宋简体"/>
          <w:sz w:val="52"/>
          <w:szCs w:val="44"/>
        </w:rPr>
      </w:pPr>
      <w:r>
        <w:rPr>
          <w:rFonts w:hint="eastAsia" w:ascii="方正小标宋简体" w:hAnsi="仿宋" w:eastAsia="方正小标宋简体"/>
          <w:sz w:val="52"/>
          <w:szCs w:val="44"/>
        </w:rPr>
        <w:t>原产地证书自主打印企业申请材料</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中国贸促会商事认证中心</w:t>
      </w:r>
    </w:p>
    <w:p>
      <w:pPr>
        <w:jc w:val="center"/>
        <w:rPr>
          <w:rFonts w:ascii="方正小标宋简体" w:hAnsi="仿宋" w:eastAsia="方正小标宋简体"/>
          <w:sz w:val="28"/>
          <w:szCs w:val="44"/>
        </w:rPr>
      </w:pPr>
      <w:r>
        <w:rPr>
          <w:rFonts w:hint="eastAsia" w:ascii="方正小标宋简体" w:hAnsi="仿宋" w:eastAsia="方正小标宋简体"/>
          <w:sz w:val="28"/>
          <w:szCs w:val="44"/>
        </w:rPr>
        <w:t>二零一八年六月</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企业申请开通自主打印原产地证书资格</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须知</w:t>
      </w:r>
    </w:p>
    <w:p>
      <w:pPr>
        <w:jc w:val="center"/>
        <w:rPr>
          <w:rFonts w:ascii="仿宋" w:hAnsi="仿宋" w:eastAsia="仿宋"/>
          <w:sz w:val="22"/>
          <w:szCs w:val="32"/>
        </w:rPr>
      </w:pPr>
    </w:p>
    <w:p>
      <w:pPr>
        <w:jc w:val="left"/>
        <w:rPr>
          <w:rFonts w:ascii="仿宋_GB2312" w:hAnsi="仿宋" w:eastAsia="仿宋_GB2312"/>
          <w:sz w:val="28"/>
          <w:szCs w:val="28"/>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28"/>
          <w:szCs w:val="28"/>
        </w:rPr>
        <w:t>一、申请开通自主打印原产地证书资格的企业必须是在中国国际贸易促进委员会及其地方签证机构注册登记过的企业。</w:t>
      </w:r>
    </w:p>
    <w:p>
      <w:pPr>
        <w:jc w:val="left"/>
        <w:rPr>
          <w:rFonts w:ascii="仿宋_GB2312" w:hAnsi="仿宋" w:eastAsia="仿宋_GB2312"/>
          <w:sz w:val="28"/>
          <w:szCs w:val="28"/>
        </w:rPr>
      </w:pPr>
      <w:r>
        <w:rPr>
          <w:rFonts w:hint="eastAsia" w:ascii="仿宋_GB2312" w:hAnsi="仿宋" w:eastAsia="仿宋_GB2312"/>
          <w:sz w:val="28"/>
          <w:szCs w:val="28"/>
        </w:rPr>
        <w:t xml:space="preserve">    二、请认真阅读《中国国际贸易促进委员会原产地证书自主打印管理办法（试行）》并遵照执行。</w:t>
      </w:r>
    </w:p>
    <w:p>
      <w:pPr>
        <w:jc w:val="left"/>
        <w:rPr>
          <w:rFonts w:ascii="仿宋_GB2312" w:hAnsi="仿宋" w:eastAsia="仿宋_GB2312"/>
          <w:sz w:val="28"/>
          <w:szCs w:val="28"/>
        </w:rPr>
      </w:pPr>
      <w:r>
        <w:rPr>
          <w:rFonts w:hint="eastAsia" w:ascii="仿宋_GB2312" w:hAnsi="仿宋" w:eastAsia="仿宋_GB2312"/>
          <w:sz w:val="28"/>
          <w:szCs w:val="28"/>
        </w:rPr>
        <w:t xml:space="preserve">    三、申请企业须向当地贸促会提交书面申请材料（本套表格）并根据当地贸促会核准需要辅助提供相关材料。</w:t>
      </w:r>
    </w:p>
    <w:p>
      <w:pPr>
        <w:jc w:val="left"/>
        <w:rPr>
          <w:rFonts w:ascii="仿宋_GB2312" w:hAnsi="仿宋" w:eastAsia="仿宋_GB2312"/>
          <w:sz w:val="28"/>
          <w:szCs w:val="28"/>
        </w:rPr>
      </w:pPr>
      <w:r>
        <w:rPr>
          <w:rFonts w:hint="eastAsia" w:ascii="仿宋_GB2312" w:hAnsi="仿宋" w:eastAsia="仿宋_GB2312"/>
          <w:sz w:val="28"/>
          <w:szCs w:val="28"/>
        </w:rPr>
        <w:t xml:space="preserve">    四、申请企业须配备符合型号要求的打印机并使用优质打印耗材以确保所打印出原产地证书正常使用。（支持的打印机型号名单持续扩增中，请随时关注贸促会发布的相关信息）。</w:t>
      </w:r>
    </w:p>
    <w:p>
      <w:pPr>
        <w:jc w:val="left"/>
        <w:rPr>
          <w:rFonts w:ascii="仿宋_GB2312" w:hAnsi="仿宋" w:eastAsia="仿宋_GB2312"/>
          <w:sz w:val="28"/>
          <w:szCs w:val="28"/>
        </w:rPr>
      </w:pPr>
      <w:r>
        <w:rPr>
          <w:rFonts w:hint="eastAsia" w:ascii="仿宋_GB2312" w:hAnsi="仿宋" w:eastAsia="仿宋_GB2312"/>
          <w:sz w:val="28"/>
          <w:szCs w:val="28"/>
        </w:rPr>
        <w:t xml:space="preserve">    五、自主打印功能支持贸促会ECO签证模式的原产地证书（证书种类持续扩增中，请随时关注贸促会发布的相关信息）。</w:t>
      </w:r>
    </w:p>
    <w:p>
      <w:pPr>
        <w:jc w:val="left"/>
        <w:rPr>
          <w:rFonts w:ascii="仿宋" w:hAnsi="仿宋" w:eastAsia="仿宋"/>
          <w:sz w:val="28"/>
          <w:szCs w:val="28"/>
        </w:rPr>
      </w:pPr>
      <w:r>
        <w:rPr>
          <w:rFonts w:hint="eastAsia" w:ascii="仿宋_GB2312" w:hAnsi="仿宋" w:eastAsia="仿宋_GB2312"/>
          <w:sz w:val="28"/>
          <w:szCs w:val="28"/>
        </w:rPr>
        <w:t xml:space="preserve">    六、贸促会签证机构依据《中国国际贸易促进委员会原产地证自主打印管理办法（试行）》对企业自主打印资格进行核准并进行后续管理，并对企业自主打印情况实行不定期抽查，对于不符合规范及要求的企业采取暂停或终止自主打印资格措施。</w:t>
      </w:r>
    </w:p>
    <w:p/>
    <w:p/>
    <w:p/>
    <w:p/>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原产地证书自主打印企业承诺书</w:t>
      </w:r>
    </w:p>
    <w:p>
      <w:pPr>
        <w:jc w:val="center"/>
        <w:rPr>
          <w:rFonts w:ascii="仿宋" w:hAnsi="仿宋" w:eastAsia="仿宋"/>
          <w:b/>
          <w:bCs/>
          <w:sz w:val="22"/>
          <w:szCs w:val="28"/>
        </w:rPr>
      </w:pPr>
    </w:p>
    <w:p>
      <w:pPr>
        <w:ind w:firstLine="548" w:firstLineChars="196"/>
        <w:rPr>
          <w:rFonts w:ascii="仿宋_GB2312" w:hAnsi="仿宋" w:eastAsia="仿宋_GB2312"/>
          <w:sz w:val="28"/>
          <w:szCs w:val="28"/>
        </w:rPr>
      </w:pPr>
      <w:r>
        <w:rPr>
          <w:rFonts w:hint="eastAsia" w:ascii="仿宋_GB2312" w:hAnsi="仿宋" w:eastAsia="仿宋_GB2312"/>
          <w:sz w:val="28"/>
          <w:szCs w:val="2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ind w:firstLine="560" w:firstLineChars="200"/>
        <w:rPr>
          <w:rFonts w:ascii="仿宋_GB2312" w:hAnsi="仿宋" w:eastAsia="仿宋_GB2312"/>
          <w:sz w:val="28"/>
          <w:szCs w:val="28"/>
        </w:rPr>
      </w:pPr>
      <w:r>
        <w:rPr>
          <w:rFonts w:hint="eastAsia" w:ascii="仿宋_GB2312" w:hAnsi="仿宋" w:eastAsia="仿宋_GB2312"/>
          <w:sz w:val="28"/>
          <w:szCs w:val="2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ind w:firstLine="560" w:firstLineChars="200"/>
        <w:rPr>
          <w:rFonts w:ascii="仿宋_GB2312" w:hAnsi="仿宋" w:eastAsia="仿宋_GB2312"/>
          <w:sz w:val="28"/>
          <w:szCs w:val="28"/>
        </w:rPr>
      </w:pPr>
      <w:r>
        <w:rPr>
          <w:rFonts w:hint="eastAsia" w:ascii="仿宋_GB2312" w:hAnsi="仿宋" w:eastAsia="仿宋_GB2312"/>
          <w:sz w:val="28"/>
          <w:szCs w:val="28"/>
        </w:rPr>
        <w:t>二、企业基本信息发生变动，未按《贸促会核准原产地证书自主打印企业标准》向签证机构及时申报变更的，所引发后果由我方承担。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三、有效保存自主打印原产地证书相关单证、资料、文件,积极配合签证机构的“事中事后”监管，及时提供检查所需材料并保证材料的真实、有效。</w:t>
      </w:r>
    </w:p>
    <w:p>
      <w:pPr>
        <w:ind w:firstLine="600"/>
        <w:rPr>
          <w:rFonts w:ascii="仿宋_GB2312" w:hAnsi="仿宋" w:eastAsia="仿宋_GB2312"/>
          <w:sz w:val="28"/>
          <w:szCs w:val="28"/>
        </w:rPr>
      </w:pPr>
      <w:r>
        <w:rPr>
          <w:rFonts w:hint="eastAsia" w:ascii="仿宋_GB2312" w:hAnsi="仿宋" w:eastAsia="仿宋_GB2312"/>
          <w:sz w:val="28"/>
          <w:szCs w:val="28"/>
        </w:rPr>
        <w:t>如有违反上述承诺，本单位愿按《中华人民共和国出口货物原产地条例》及相关法律、法规，贸促会有关规定，接受处理。</w:t>
      </w:r>
    </w:p>
    <w:p>
      <w:pPr>
        <w:ind w:firstLine="600"/>
        <w:rPr>
          <w:rFonts w:ascii="仿宋_GB2312" w:hAnsi="仿宋" w:eastAsia="仿宋_GB2312"/>
          <w:sz w:val="28"/>
          <w:szCs w:val="28"/>
        </w:rPr>
      </w:pPr>
    </w:p>
    <w:p>
      <w:pPr>
        <w:ind w:firstLine="600"/>
        <w:rPr>
          <w:rFonts w:ascii="仿宋_GB2312" w:hAnsi="仿宋" w:eastAsia="仿宋_GB2312"/>
          <w:sz w:val="28"/>
          <w:szCs w:val="28"/>
        </w:rPr>
      </w:pPr>
    </w:p>
    <w:p>
      <w:pPr>
        <w:ind w:firstLine="600"/>
        <w:rPr>
          <w:rFonts w:ascii="仿宋_GB2312" w:hAnsi="仿宋" w:eastAsia="仿宋_GB2312"/>
          <w:sz w:val="28"/>
          <w:szCs w:val="28"/>
        </w:rPr>
      </w:pPr>
      <w:r>
        <w:rPr>
          <w:rFonts w:hint="eastAsia" w:ascii="仿宋_GB2312" w:hAnsi="仿宋" w:eastAsia="仿宋_GB2312"/>
          <w:sz w:val="28"/>
          <w:szCs w:val="28"/>
        </w:rPr>
        <w:t xml:space="preserve">申请单位（公章）：       法定代表人（签章）：                                        </w:t>
      </w:r>
      <w:r>
        <w:rPr>
          <w:rFonts w:hint="eastAsia" w:ascii="仿宋_GB2312" w:hAnsi="仿宋" w:eastAsia="仿宋_GB2312" w:cs="仿宋"/>
          <w:b/>
          <w:sz w:val="28"/>
          <w:szCs w:val="28"/>
        </w:rPr>
        <w:t xml:space="preserve">                                  </w:t>
      </w:r>
    </w:p>
    <w:p>
      <w:pPr>
        <w:rPr>
          <w:rFonts w:ascii="仿宋_GB2312" w:hAnsi="仿宋" w:eastAsia="仿宋_GB2312"/>
          <w:sz w:val="28"/>
          <w:szCs w:val="28"/>
        </w:rPr>
      </w:pPr>
      <w:r>
        <w:rPr>
          <w:rFonts w:hint="eastAsia" w:ascii="仿宋_GB2312" w:hAnsi="仿宋" w:eastAsia="仿宋_GB2312" w:cs="仿宋"/>
          <w:b/>
          <w:sz w:val="28"/>
          <w:szCs w:val="28"/>
        </w:rPr>
        <w:t xml:space="preserve">                          </w:t>
      </w:r>
      <w:r>
        <w:rPr>
          <w:rFonts w:hint="eastAsia" w:ascii="仿宋_GB2312" w:hAnsi="仿宋" w:eastAsia="仿宋_GB2312"/>
          <w:sz w:val="28"/>
          <w:szCs w:val="28"/>
        </w:rPr>
        <w:t xml:space="preserve">                 年   月   日</w:t>
      </w:r>
    </w:p>
    <w:p>
      <w:pPr>
        <w:spacing w:before="156" w:beforeLines="50" w:after="156" w:afterLines="50"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中国国际贸易促进委员会</w:t>
      </w:r>
    </w:p>
    <w:p>
      <w:pPr>
        <w:spacing w:before="156" w:beforeLines="50" w:after="156" w:afterLines="50" w:line="560" w:lineRule="exact"/>
        <w:jc w:val="center"/>
        <w:rPr>
          <w:rFonts w:ascii="方正小标宋简体" w:eastAsia="方正小标宋简体"/>
          <w:sz w:val="44"/>
          <w:szCs w:val="44"/>
        </w:rPr>
      </w:pPr>
      <w:r>
        <w:rPr>
          <w:rFonts w:hint="eastAsia" w:ascii="方正小标宋简体" w:hAnsi="黑体" w:eastAsia="方正小标宋简体"/>
          <w:sz w:val="44"/>
          <w:szCs w:val="44"/>
        </w:rPr>
        <w:t>原产地证书自主打印资格申请核准信息</w:t>
      </w:r>
      <w:r>
        <w:rPr>
          <w:rFonts w:hint="eastAsia" w:ascii="方正小标宋简体" w:eastAsia="方正小标宋简体"/>
          <w:sz w:val="44"/>
          <w:szCs w:val="44"/>
        </w:rPr>
        <w:t>表</w:t>
      </w:r>
    </w:p>
    <w:tbl>
      <w:tblPr>
        <w:tblStyle w:val="5"/>
        <w:tblW w:w="526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2"/>
        <w:gridCol w:w="2105"/>
        <w:gridCol w:w="2163"/>
        <w:gridCol w:w="1134"/>
        <w:gridCol w:w="1139"/>
        <w:gridCol w:w="141"/>
        <w:gridCol w:w="12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申请人填写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企业名称</w:t>
            </w:r>
          </w:p>
        </w:tc>
        <w:tc>
          <w:tcPr>
            <w:tcW w:w="5850" w:type="dxa"/>
            <w:gridSpan w:val="5"/>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贸促会注册编码</w:t>
            </w:r>
          </w:p>
        </w:tc>
        <w:tc>
          <w:tcPr>
            <w:tcW w:w="5850" w:type="dxa"/>
            <w:gridSpan w:val="5"/>
            <w:vAlign w:val="center"/>
          </w:tcPr>
          <w:p>
            <w:pPr>
              <w:widowControl/>
              <w:spacing w:line="560" w:lineRule="exact"/>
              <w:jc w:val="lef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联系地址</w:t>
            </w:r>
          </w:p>
        </w:tc>
        <w:tc>
          <w:tcPr>
            <w:tcW w:w="3297" w:type="dxa"/>
            <w:gridSpan w:val="2"/>
            <w:vAlign w:val="center"/>
          </w:tcPr>
          <w:p>
            <w:pPr>
              <w:spacing w:line="560" w:lineRule="exact"/>
              <w:jc w:val="center"/>
              <w:rPr>
                <w:rFonts w:ascii="黑体" w:hAnsi="黑体" w:eastAsia="黑体"/>
                <w:sz w:val="24"/>
                <w:szCs w:val="24"/>
              </w:rPr>
            </w:pPr>
          </w:p>
        </w:tc>
        <w:tc>
          <w:tcPr>
            <w:tcW w:w="1139" w:type="dxa"/>
            <w:vAlign w:val="center"/>
          </w:tcPr>
          <w:p>
            <w:pPr>
              <w:spacing w:line="560" w:lineRule="exact"/>
              <w:jc w:val="center"/>
              <w:rPr>
                <w:rFonts w:ascii="黑体" w:hAnsi="黑体" w:eastAsia="黑体"/>
                <w:sz w:val="24"/>
                <w:szCs w:val="24"/>
              </w:rPr>
            </w:pPr>
            <w:r>
              <w:rPr>
                <w:rFonts w:hint="eastAsia" w:ascii="Times New Roman" w:hAnsi="Times New Roman"/>
                <w:szCs w:val="24"/>
              </w:rPr>
              <w:t>邮政编码</w:t>
            </w:r>
          </w:p>
        </w:tc>
        <w:tc>
          <w:tcPr>
            <w:tcW w:w="1414" w:type="dxa"/>
            <w:gridSpan w:val="2"/>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联系人姓名</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职务</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办公座机</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黑体" w:hAnsi="黑体" w:eastAsia="黑体"/>
                <w:sz w:val="24"/>
                <w:szCs w:val="24"/>
              </w:rPr>
            </w:pPr>
            <w:r>
              <w:rPr>
                <w:rFonts w:hint="eastAsia" w:ascii="Times New Roman" w:hAnsi="Times New Roman"/>
                <w:szCs w:val="24"/>
              </w:rPr>
              <w:t>办公传真</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办公电子邮箱</w:t>
            </w:r>
          </w:p>
        </w:tc>
        <w:tc>
          <w:tcPr>
            <w:tcW w:w="2163" w:type="dxa"/>
            <w:vAlign w:val="center"/>
          </w:tcPr>
          <w:p>
            <w:pPr>
              <w:spacing w:line="560" w:lineRule="exact"/>
              <w:jc w:val="center"/>
              <w:rPr>
                <w:rFonts w:ascii="黑体" w:hAnsi="黑体" w:eastAsia="黑体"/>
                <w:sz w:val="24"/>
                <w:szCs w:val="24"/>
              </w:rPr>
            </w:pPr>
          </w:p>
        </w:tc>
        <w:tc>
          <w:tcPr>
            <w:tcW w:w="1134" w:type="dxa"/>
            <w:vAlign w:val="center"/>
          </w:tcPr>
          <w:p>
            <w:pPr>
              <w:spacing w:line="560" w:lineRule="exact"/>
              <w:jc w:val="center"/>
              <w:rPr>
                <w:rFonts w:ascii="Times New Roman" w:hAnsi="Times New Roman"/>
                <w:szCs w:val="24"/>
              </w:rPr>
            </w:pPr>
            <w:r>
              <w:rPr>
                <w:rFonts w:hint="eastAsia" w:ascii="Times New Roman" w:hAnsi="Times New Roman"/>
                <w:szCs w:val="24"/>
              </w:rPr>
              <w:t>手机</w:t>
            </w:r>
          </w:p>
        </w:tc>
        <w:tc>
          <w:tcPr>
            <w:tcW w:w="2553" w:type="dxa"/>
            <w:gridSpan w:val="3"/>
            <w:vAlign w:val="center"/>
          </w:tcPr>
          <w:p>
            <w:pPr>
              <w:spacing w:line="560" w:lineRule="exact"/>
              <w:jc w:val="center"/>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5"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2105" w:type="dxa"/>
            <w:vAlign w:val="center"/>
          </w:tcPr>
          <w:p>
            <w:pPr>
              <w:spacing w:line="520" w:lineRule="exact"/>
              <w:ind w:firstLine="420" w:firstLineChars="200"/>
              <w:rPr>
                <w:rFonts w:ascii="Times New Roman" w:hAnsi="Times New Roman"/>
                <w:szCs w:val="24"/>
              </w:rPr>
            </w:pPr>
            <w:r>
              <w:rPr>
                <w:rFonts w:hint="eastAsia" w:ascii="Times New Roman" w:hAnsi="Times New Roman"/>
                <w:szCs w:val="24"/>
              </w:rPr>
              <w:t>申请事宜</w:t>
            </w:r>
          </w:p>
          <w:p>
            <w:pPr>
              <w:spacing w:line="560" w:lineRule="exact"/>
              <w:rPr>
                <w:rFonts w:ascii="黑体" w:hAnsi="黑体" w:eastAsia="黑体"/>
                <w:sz w:val="24"/>
                <w:szCs w:val="24"/>
              </w:rPr>
            </w:pPr>
          </w:p>
        </w:tc>
        <w:tc>
          <w:tcPr>
            <w:tcW w:w="5850" w:type="dxa"/>
            <w:gridSpan w:val="5"/>
            <w:vAlign w:val="center"/>
          </w:tcPr>
          <w:p>
            <w:pPr>
              <w:spacing w:line="560" w:lineRule="exact"/>
              <w:jc w:val="center"/>
              <w:rPr>
                <w:rFonts w:ascii="黑体" w:hAnsi="黑体" w:eastAsia="黑体"/>
                <w:sz w:val="24"/>
                <w:szCs w:val="24"/>
              </w:rPr>
            </w:pPr>
            <w:r>
              <w:rPr>
                <w:rFonts w:hint="eastAsia" w:ascii="黑体" w:hAnsi="黑体" w:eastAsia="黑体"/>
                <w:sz w:val="24"/>
                <w:szCs w:val="24"/>
              </w:rPr>
              <w:t>中国国际贸易促进委员会原产地证书（已实施ECO签证模式）自主打印资格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70" w:hRule="atLeast"/>
          <w:jc w:val="center"/>
        </w:trPr>
        <w:tc>
          <w:tcPr>
            <w:tcW w:w="1032" w:type="dxa"/>
            <w:vMerge w:val="continue"/>
            <w:textDirection w:val="tbRlV"/>
            <w:vAlign w:val="center"/>
          </w:tcPr>
          <w:p>
            <w:pPr>
              <w:spacing w:line="560" w:lineRule="exact"/>
              <w:ind w:right="113" w:firstLine="480" w:firstLineChars="200"/>
              <w:rPr>
                <w:rFonts w:ascii="黑体" w:hAnsi="黑体" w:eastAsia="黑体"/>
                <w:sz w:val="24"/>
                <w:szCs w:val="24"/>
              </w:rPr>
            </w:pPr>
          </w:p>
        </w:tc>
        <w:tc>
          <w:tcPr>
            <w:tcW w:w="7955" w:type="dxa"/>
            <w:gridSpan w:val="6"/>
            <w:vAlign w:val="center"/>
          </w:tcPr>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黑体" w:hAnsi="黑体" w:eastAsia="黑体"/>
                <w:sz w:val="24"/>
                <w:szCs w:val="24"/>
              </w:rPr>
            </w:pPr>
          </w:p>
          <w:p>
            <w:pPr>
              <w:spacing w:line="520" w:lineRule="exact"/>
              <w:ind w:firstLine="480" w:firstLineChars="200"/>
              <w:rPr>
                <w:rFonts w:ascii="Times New Roman" w:hAnsi="Times New Roman"/>
                <w:szCs w:val="24"/>
              </w:rPr>
            </w:pPr>
            <w:r>
              <w:rPr>
                <w:rFonts w:hint="eastAsia" w:ascii="黑体" w:hAnsi="黑体" w:eastAsia="黑体"/>
                <w:sz w:val="24"/>
                <w:szCs w:val="24"/>
              </w:rPr>
              <w:t>企业公章：          法定代表人签字：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restart"/>
            <w:textDirection w:val="tbRlV"/>
            <w:vAlign w:val="center"/>
          </w:tcPr>
          <w:p>
            <w:pPr>
              <w:spacing w:line="560" w:lineRule="exact"/>
              <w:ind w:left="113" w:right="113"/>
              <w:jc w:val="center"/>
              <w:rPr>
                <w:rFonts w:ascii="黑体" w:hAnsi="黑体" w:eastAsia="黑体"/>
                <w:spacing w:val="80"/>
                <w:sz w:val="24"/>
                <w:szCs w:val="24"/>
              </w:rPr>
            </w:pPr>
            <w:r>
              <w:rPr>
                <w:rFonts w:hint="eastAsia" w:ascii="黑体" w:hAnsi="黑体" w:eastAsia="黑体"/>
                <w:spacing w:val="80"/>
                <w:sz w:val="24"/>
                <w:szCs w:val="24"/>
              </w:rPr>
              <w:t>签证机构填写</w:t>
            </w: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签证机构名称</w:t>
            </w:r>
          </w:p>
        </w:tc>
        <w:tc>
          <w:tcPr>
            <w:tcW w:w="3297" w:type="dxa"/>
            <w:gridSpan w:val="2"/>
            <w:vAlign w:val="center"/>
          </w:tcPr>
          <w:p>
            <w:pPr>
              <w:spacing w:line="560" w:lineRule="exact"/>
              <w:jc w:val="right"/>
              <w:rPr>
                <w:rFonts w:ascii="黑体" w:hAnsi="黑体" w:eastAsia="黑体"/>
                <w:sz w:val="24"/>
                <w:szCs w:val="24"/>
              </w:rPr>
            </w:pPr>
          </w:p>
        </w:tc>
        <w:tc>
          <w:tcPr>
            <w:tcW w:w="1280" w:type="dxa"/>
            <w:gridSpan w:val="2"/>
            <w:vAlign w:val="center"/>
          </w:tcPr>
          <w:p>
            <w:pPr>
              <w:spacing w:line="560" w:lineRule="exact"/>
              <w:jc w:val="center"/>
              <w:rPr>
                <w:rFonts w:ascii="黑体" w:hAnsi="黑体" w:eastAsia="黑体"/>
                <w:sz w:val="24"/>
                <w:szCs w:val="24"/>
              </w:rPr>
            </w:pPr>
            <w:r>
              <w:rPr>
                <w:rFonts w:hint="eastAsia" w:ascii="Times New Roman" w:hAnsi="Times New Roman"/>
                <w:szCs w:val="24"/>
              </w:rPr>
              <w:t>申请表编号</w:t>
            </w:r>
          </w:p>
        </w:tc>
        <w:tc>
          <w:tcPr>
            <w:tcW w:w="1273" w:type="dxa"/>
            <w:vAlign w:val="center"/>
          </w:tcPr>
          <w:p>
            <w:pPr>
              <w:spacing w:line="560" w:lineRule="exact"/>
              <w:jc w:val="right"/>
              <w:rPr>
                <w:rFonts w:ascii="黑体" w:hAnsi="黑体"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受理人意见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FBFBF"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32" w:type="dxa"/>
            <w:vMerge w:val="continue"/>
            <w:textDirection w:val="tbRlV"/>
            <w:vAlign w:val="center"/>
          </w:tcPr>
          <w:p>
            <w:pPr>
              <w:spacing w:line="560" w:lineRule="exact"/>
              <w:ind w:left="113" w:right="113"/>
              <w:jc w:val="center"/>
              <w:rPr>
                <w:rFonts w:ascii="黑体" w:hAnsi="黑体" w:eastAsia="黑体"/>
                <w:spacing w:val="80"/>
                <w:sz w:val="24"/>
                <w:szCs w:val="24"/>
              </w:rPr>
            </w:pPr>
          </w:p>
        </w:tc>
        <w:tc>
          <w:tcPr>
            <w:tcW w:w="2105" w:type="dxa"/>
            <w:vAlign w:val="center"/>
          </w:tcPr>
          <w:p>
            <w:pPr>
              <w:spacing w:line="560" w:lineRule="exact"/>
              <w:jc w:val="center"/>
              <w:rPr>
                <w:rFonts w:ascii="黑体" w:hAnsi="黑体" w:eastAsia="黑体"/>
                <w:sz w:val="24"/>
                <w:szCs w:val="24"/>
              </w:rPr>
            </w:pPr>
            <w:r>
              <w:rPr>
                <w:rFonts w:hint="eastAsia" w:ascii="Times New Roman" w:hAnsi="Times New Roman"/>
                <w:szCs w:val="24"/>
              </w:rPr>
              <w:t>业务主管意见</w:t>
            </w:r>
          </w:p>
        </w:tc>
        <w:tc>
          <w:tcPr>
            <w:tcW w:w="3297" w:type="dxa"/>
            <w:gridSpan w:val="2"/>
            <w:vAlign w:val="center"/>
          </w:tcPr>
          <w:p>
            <w:pPr>
              <w:spacing w:line="560" w:lineRule="exact"/>
              <w:ind w:firstLine="1800" w:firstLineChars="750"/>
              <w:jc w:val="left"/>
              <w:rPr>
                <w:rFonts w:ascii="黑体" w:hAnsi="黑体" w:eastAsia="黑体"/>
                <w:sz w:val="24"/>
                <w:szCs w:val="24"/>
              </w:rPr>
            </w:pPr>
            <w:r>
              <w:rPr>
                <w:rFonts w:hint="eastAsia" w:ascii="黑体" w:hAnsi="黑体" w:eastAsia="黑体"/>
                <w:color w:val="BFBFBF" w:themeColor="background1" w:themeShade="BF"/>
                <w:sz w:val="24"/>
                <w:szCs w:val="24"/>
              </w:rPr>
              <w:t>（签字）</w:t>
            </w:r>
          </w:p>
        </w:tc>
        <w:tc>
          <w:tcPr>
            <w:tcW w:w="2553" w:type="dxa"/>
            <w:gridSpan w:val="3"/>
            <w:vAlign w:val="center"/>
          </w:tcPr>
          <w:p>
            <w:pPr>
              <w:spacing w:line="560" w:lineRule="exact"/>
              <w:jc w:val="right"/>
              <w:rPr>
                <w:rFonts w:ascii="黑体" w:hAnsi="黑体" w:eastAsia="黑体"/>
                <w:sz w:val="24"/>
                <w:szCs w:val="24"/>
              </w:rPr>
            </w:pPr>
            <w:r>
              <w:rPr>
                <w:rFonts w:hint="eastAsia" w:ascii="Times New Roman" w:hAnsi="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98"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7955" w:type="dxa"/>
            <w:gridSpan w:val="6"/>
            <w:vAlign w:val="center"/>
          </w:tcPr>
          <w:p>
            <w:pPr>
              <w:spacing w:line="560" w:lineRule="exact"/>
              <w:jc w:val="center"/>
              <w:rPr>
                <w:rFonts w:ascii="黑体" w:hAnsi="黑体" w:eastAsia="黑体"/>
                <w:sz w:val="24"/>
                <w:szCs w:val="24"/>
              </w:rPr>
            </w:pPr>
          </w:p>
          <w:p>
            <w:pPr>
              <w:spacing w:line="560" w:lineRule="exact"/>
              <w:jc w:val="center"/>
              <w:rPr>
                <w:rFonts w:ascii="黑体" w:hAnsi="黑体" w:eastAsia="黑体"/>
                <w:sz w:val="24"/>
                <w:szCs w:val="24"/>
              </w:rPr>
            </w:pPr>
          </w:p>
          <w:p>
            <w:pPr>
              <w:spacing w:line="560" w:lineRule="exact"/>
              <w:jc w:val="left"/>
              <w:rPr>
                <w:rFonts w:ascii="黑体" w:hAnsi="黑体" w:eastAsia="黑体"/>
                <w:sz w:val="24"/>
                <w:szCs w:val="24"/>
              </w:rPr>
            </w:pPr>
            <w:r>
              <w:rPr>
                <w:rFonts w:hint="eastAsia" w:ascii="黑体" w:hAnsi="黑体" w:eastAsia="黑体"/>
                <w:sz w:val="24"/>
                <w:szCs w:val="24"/>
              </w:rPr>
              <w:t xml:space="preserve">  签证机构印章：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4" w:hRule="atLeast"/>
          <w:jc w:val="center"/>
        </w:trPr>
        <w:tc>
          <w:tcPr>
            <w:tcW w:w="1032" w:type="dxa"/>
            <w:vMerge w:val="continue"/>
            <w:textDirection w:val="tbRlV"/>
            <w:vAlign w:val="center"/>
          </w:tcPr>
          <w:p>
            <w:pPr>
              <w:spacing w:line="560" w:lineRule="exact"/>
              <w:ind w:left="113" w:right="113"/>
              <w:jc w:val="center"/>
              <w:rPr>
                <w:rFonts w:ascii="黑体" w:hAnsi="黑体" w:eastAsia="黑体"/>
                <w:sz w:val="24"/>
                <w:szCs w:val="24"/>
              </w:rPr>
            </w:pPr>
          </w:p>
        </w:tc>
        <w:tc>
          <w:tcPr>
            <w:tcW w:w="2105" w:type="dxa"/>
            <w:vAlign w:val="center"/>
          </w:tcPr>
          <w:p>
            <w:pPr>
              <w:spacing w:line="560" w:lineRule="exact"/>
              <w:jc w:val="center"/>
              <w:rPr>
                <w:rFonts w:ascii="Times New Roman" w:hAnsi="Times New Roman"/>
                <w:szCs w:val="24"/>
              </w:rPr>
            </w:pPr>
            <w:r>
              <w:rPr>
                <w:rFonts w:hint="eastAsia" w:ascii="Times New Roman" w:hAnsi="Times New Roman"/>
                <w:szCs w:val="24"/>
              </w:rPr>
              <w:t>备注</w:t>
            </w:r>
          </w:p>
        </w:tc>
        <w:tc>
          <w:tcPr>
            <w:tcW w:w="5850" w:type="dxa"/>
            <w:gridSpan w:val="5"/>
            <w:vAlign w:val="center"/>
          </w:tcPr>
          <w:p>
            <w:pPr>
              <w:spacing w:line="560" w:lineRule="exact"/>
              <w:rPr>
                <w:rFonts w:ascii="黑体" w:hAnsi="黑体" w:eastAsia="黑体"/>
                <w:sz w:val="24"/>
                <w:szCs w:val="24"/>
              </w:rPr>
            </w:pPr>
          </w:p>
        </w:tc>
      </w:tr>
    </w:tbl>
    <w:p>
      <w:pPr>
        <w:spacing w:before="156" w:beforeLines="50"/>
        <w:jc w:val="left"/>
      </w:pPr>
      <w:r>
        <w:rPr>
          <w:rFonts w:hint="eastAsia"/>
        </w:rPr>
        <w:t>提示：此表为申请人获得贸促会原产地证书自主打印资格的主要凭据。</w:t>
      </w:r>
    </w:p>
    <w:p>
      <w:pPr>
        <w:jc w:val="center"/>
        <w:rPr>
          <w:rFonts w:eastAsia="方正小标宋_GBK"/>
          <w:sz w:val="44"/>
          <w:szCs w:val="44"/>
        </w:rPr>
      </w:pPr>
      <w:r>
        <w:rPr>
          <w:rFonts w:hint="eastAsia" w:eastAsia="方正小标宋_GBK"/>
          <w:sz w:val="44"/>
          <w:szCs w:val="44"/>
        </w:rPr>
        <w:t>贸促会核准原产地证书自主打印</w:t>
      </w:r>
      <w:r>
        <w:rPr>
          <w:rFonts w:eastAsia="方正小标宋_GBK"/>
          <w:sz w:val="44"/>
          <w:szCs w:val="44"/>
        </w:rPr>
        <w:t>企业标准</w:t>
      </w:r>
    </w:p>
    <w:p>
      <w:pPr>
        <w:rPr>
          <w:rFonts w:eastAsia="方正黑体_GBK"/>
          <w:sz w:val="44"/>
          <w:szCs w:val="44"/>
        </w:rPr>
      </w:pPr>
    </w:p>
    <w:p>
      <w:pPr>
        <w:jc w:val="center"/>
        <w:rPr>
          <w:rFonts w:eastAsia="方正小标宋_GBK"/>
          <w:sz w:val="44"/>
          <w:szCs w:val="44"/>
        </w:rPr>
      </w:pPr>
      <w:r>
        <w:rPr>
          <w:rFonts w:eastAsia="方正小标宋_GBK"/>
          <w:sz w:val="44"/>
          <w:szCs w:val="44"/>
        </w:rPr>
        <w:t>说　　明</w:t>
      </w:r>
    </w:p>
    <w:p>
      <w:pPr>
        <w:jc w:val="center"/>
        <w:rPr>
          <w:rFonts w:eastAsia="方正黑体_GBK"/>
          <w:sz w:val="44"/>
          <w:szCs w:val="44"/>
        </w:rPr>
      </w:pPr>
    </w:p>
    <w:p>
      <w:pPr>
        <w:spacing w:line="560" w:lineRule="exact"/>
        <w:ind w:firstLine="640" w:firstLineChars="200"/>
        <w:rPr>
          <w:rFonts w:eastAsia="方正黑体_GBK"/>
          <w:sz w:val="32"/>
          <w:szCs w:val="32"/>
        </w:rPr>
      </w:pPr>
      <w:r>
        <w:rPr>
          <w:rFonts w:eastAsia="方正黑体_GBK"/>
          <w:sz w:val="32"/>
          <w:szCs w:val="32"/>
        </w:rPr>
        <w:t>一、关于</w:t>
      </w:r>
      <w:r>
        <w:rPr>
          <w:rFonts w:hint="eastAsia" w:eastAsia="方正黑体_GBK"/>
          <w:sz w:val="32"/>
          <w:szCs w:val="32"/>
        </w:rPr>
        <w:t>核准</w:t>
      </w:r>
      <w:r>
        <w:rPr>
          <w:rFonts w:eastAsia="方正黑体_GBK"/>
          <w:sz w:val="32"/>
          <w:szCs w:val="32"/>
        </w:rPr>
        <w:t>标准的分类</w:t>
      </w:r>
    </w:p>
    <w:p>
      <w:pPr>
        <w:spacing w:line="560" w:lineRule="exact"/>
        <w:ind w:firstLine="640" w:firstLineChars="200"/>
        <w:rPr>
          <w:rFonts w:eastAsia="方正仿宋_GBK"/>
          <w:sz w:val="32"/>
          <w:szCs w:val="32"/>
        </w:rPr>
      </w:pPr>
      <w:r>
        <w:rPr>
          <w:rFonts w:eastAsia="方正仿宋_GBK"/>
          <w:sz w:val="32"/>
          <w:szCs w:val="32"/>
        </w:rPr>
        <w:t>本</w:t>
      </w:r>
      <w:r>
        <w:rPr>
          <w:rFonts w:hint="eastAsia" w:eastAsia="方正仿宋_GBK"/>
          <w:sz w:val="32"/>
          <w:szCs w:val="32"/>
        </w:rPr>
        <w:t>核准</w:t>
      </w:r>
      <w:r>
        <w:rPr>
          <w:rFonts w:eastAsia="方正仿宋_GBK"/>
          <w:sz w:val="32"/>
          <w:szCs w:val="32"/>
        </w:rPr>
        <w:t>标准分为</w:t>
      </w:r>
      <w:r>
        <w:rPr>
          <w:rFonts w:hint="eastAsia" w:eastAsia="方正仿宋_GBK"/>
          <w:sz w:val="32"/>
          <w:szCs w:val="32"/>
        </w:rPr>
        <w:t>备案信息</w:t>
      </w:r>
      <w:r>
        <w:rPr>
          <w:rFonts w:eastAsia="方正仿宋_GBK"/>
          <w:sz w:val="32"/>
          <w:szCs w:val="32"/>
        </w:rPr>
        <w:t>、</w:t>
      </w:r>
      <w:r>
        <w:rPr>
          <w:rFonts w:hint="eastAsia" w:eastAsia="方正仿宋_GBK"/>
          <w:sz w:val="32"/>
          <w:szCs w:val="32"/>
        </w:rPr>
        <w:t>历史申报、内部管理</w:t>
      </w:r>
      <w:r>
        <w:rPr>
          <w:rFonts w:eastAsia="方正仿宋_GBK"/>
          <w:sz w:val="32"/>
          <w:szCs w:val="32"/>
        </w:rPr>
        <w:t>、</w:t>
      </w:r>
      <w:r>
        <w:rPr>
          <w:rFonts w:hint="eastAsia" w:eastAsia="方正仿宋_GBK"/>
          <w:sz w:val="32"/>
          <w:szCs w:val="32"/>
        </w:rPr>
        <w:t>自主打印必备条件</w:t>
      </w:r>
      <w:r>
        <w:rPr>
          <w:rFonts w:eastAsia="方正仿宋_GBK"/>
          <w:sz w:val="32"/>
          <w:szCs w:val="32"/>
        </w:rPr>
        <w:t>和附加标准，共5大类</w:t>
      </w:r>
      <w:r>
        <w:rPr>
          <w:rFonts w:hint="eastAsia" w:eastAsia="方正仿宋_GBK"/>
          <w:sz w:val="32"/>
          <w:szCs w:val="32"/>
        </w:rPr>
        <w:t>九</w:t>
      </w:r>
      <w:r>
        <w:rPr>
          <w:rFonts w:eastAsia="方正仿宋_GBK"/>
          <w:sz w:val="32"/>
          <w:szCs w:val="32"/>
        </w:rPr>
        <w:t>条</w:t>
      </w:r>
      <w:r>
        <w:rPr>
          <w:rFonts w:hint="eastAsia" w:eastAsia="方正仿宋_GBK"/>
          <w:sz w:val="32"/>
          <w:szCs w:val="32"/>
        </w:rPr>
        <w:t>14</w:t>
      </w:r>
      <w:r>
        <w:rPr>
          <w:rFonts w:eastAsia="方正仿宋_GBK"/>
          <w:sz w:val="32"/>
          <w:szCs w:val="32"/>
        </w:rPr>
        <w:t>项。其中前4类为基础标准，第5类为附加标准。</w:t>
      </w:r>
    </w:p>
    <w:p>
      <w:pPr>
        <w:spacing w:line="560" w:lineRule="exact"/>
        <w:ind w:firstLine="640" w:firstLineChars="200"/>
        <w:rPr>
          <w:rFonts w:eastAsia="方正仿宋_GBK"/>
          <w:sz w:val="32"/>
          <w:szCs w:val="32"/>
        </w:rPr>
      </w:pPr>
      <w:r>
        <w:rPr>
          <w:rFonts w:eastAsia="方正黑体_GBK"/>
          <w:sz w:val="32"/>
          <w:szCs w:val="32"/>
        </w:rPr>
        <w:t>二、关于</w:t>
      </w:r>
      <w:r>
        <w:rPr>
          <w:rFonts w:hint="eastAsia" w:eastAsia="方正黑体_GBK"/>
          <w:sz w:val="32"/>
          <w:szCs w:val="32"/>
        </w:rPr>
        <w:t>核准</w:t>
      </w:r>
      <w:r>
        <w:rPr>
          <w:rFonts w:eastAsia="方正黑体_GBK"/>
          <w:sz w:val="32"/>
          <w:szCs w:val="32"/>
        </w:rPr>
        <w:t>标准的赋分规则</w:t>
      </w:r>
    </w:p>
    <w:p>
      <w:pPr>
        <w:spacing w:line="560" w:lineRule="exact"/>
        <w:ind w:firstLine="640" w:firstLineChars="200"/>
        <w:rPr>
          <w:rFonts w:eastAsia="方正仿宋_GBK"/>
          <w:sz w:val="32"/>
          <w:szCs w:val="32"/>
        </w:rPr>
      </w:pPr>
      <w:r>
        <w:rPr>
          <w:rFonts w:eastAsia="方正楷体_GBK"/>
          <w:b/>
          <w:bCs/>
          <w:sz w:val="32"/>
          <w:szCs w:val="32"/>
        </w:rPr>
        <w:t>（一）基础标准赋分规则。</w:t>
      </w:r>
    </w:p>
    <w:p>
      <w:pPr>
        <w:spacing w:line="560" w:lineRule="exact"/>
        <w:ind w:firstLine="640" w:firstLineChars="200"/>
        <w:rPr>
          <w:rFonts w:eastAsia="方正仿宋_GBK"/>
          <w:sz w:val="32"/>
          <w:szCs w:val="32"/>
        </w:rPr>
      </w:pPr>
      <w:r>
        <w:rPr>
          <w:rFonts w:eastAsia="方正仿宋_GBK"/>
          <w:sz w:val="32"/>
          <w:szCs w:val="32"/>
        </w:rPr>
        <w:t>赋分选项分为两种，一是“达标”、“部分达标”、“不达标”，对应分值为“0”、“-1”</w:t>
      </w:r>
      <w:r>
        <w:rPr>
          <w:rFonts w:hint="eastAsia" w:eastAsia="方正仿宋_GBK"/>
          <w:sz w:val="32"/>
          <w:szCs w:val="32"/>
        </w:rPr>
        <w:t>、</w:t>
      </w:r>
      <w:r>
        <w:rPr>
          <w:rFonts w:eastAsia="方正仿宋_GBK"/>
          <w:sz w:val="32"/>
          <w:szCs w:val="32"/>
        </w:rPr>
        <w:t>“-2”；二是“</w:t>
      </w:r>
      <w:r>
        <w:rPr>
          <w:rFonts w:hint="eastAsia" w:eastAsia="方正仿宋_GBK"/>
          <w:sz w:val="32"/>
          <w:szCs w:val="32"/>
        </w:rPr>
        <w:t>符合</w:t>
      </w:r>
      <w:r>
        <w:rPr>
          <w:rFonts w:eastAsia="方正仿宋_GBK"/>
          <w:sz w:val="32"/>
          <w:szCs w:val="32"/>
        </w:rPr>
        <w:t>”、“不</w:t>
      </w:r>
      <w:r>
        <w:rPr>
          <w:rFonts w:hint="eastAsia" w:eastAsia="方正仿宋_GBK"/>
          <w:sz w:val="32"/>
          <w:szCs w:val="32"/>
        </w:rPr>
        <w:t>适用</w:t>
      </w:r>
      <w:r>
        <w:rPr>
          <w:rFonts w:eastAsia="方正仿宋_GBK"/>
          <w:sz w:val="32"/>
          <w:szCs w:val="32"/>
        </w:rPr>
        <w:t>”，对应分值为“</w:t>
      </w:r>
      <w:r>
        <w:rPr>
          <w:rFonts w:hint="eastAsia" w:eastAsia="方正仿宋_GBK"/>
          <w:sz w:val="32"/>
          <w:szCs w:val="32"/>
        </w:rPr>
        <w:t>2</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0</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b/>
          <w:bCs/>
          <w:sz w:val="32"/>
          <w:szCs w:val="32"/>
        </w:rPr>
        <w:t>达标：</w:t>
      </w:r>
      <w:r>
        <w:rPr>
          <w:rFonts w:eastAsia="方正仿宋_GBK"/>
          <w:bCs/>
          <w:kern w:val="0"/>
          <w:sz w:val="32"/>
          <w:szCs w:val="32"/>
        </w:rPr>
        <w:t>企业实际情况符合该项标准。</w:t>
      </w:r>
      <w:r>
        <w:rPr>
          <w:rFonts w:eastAsia="方正仿宋_GBK"/>
          <w:sz w:val="32"/>
          <w:szCs w:val="32"/>
        </w:rPr>
        <w:t>该项标准中有分项标准（用（1）、（2）、（3）</w:t>
      </w:r>
      <w:r>
        <w:rPr>
          <w:rFonts w:hint="eastAsia" w:eastAsia="方正仿宋_GBK"/>
          <w:sz w:val="32"/>
          <w:szCs w:val="32"/>
        </w:rPr>
        <w:t>等</w:t>
      </w:r>
      <w:r>
        <w:rPr>
          <w:rFonts w:eastAsia="方正仿宋_GBK"/>
          <w:sz w:val="32"/>
          <w:szCs w:val="32"/>
        </w:rPr>
        <w:t>表示）的，也应符合每个分项标准。</w:t>
      </w:r>
    </w:p>
    <w:p>
      <w:pPr>
        <w:spacing w:line="560" w:lineRule="exact"/>
        <w:ind w:firstLine="640" w:firstLineChars="200"/>
        <w:rPr>
          <w:rFonts w:eastAsia="方正仿宋_GBK"/>
          <w:sz w:val="32"/>
          <w:szCs w:val="32"/>
        </w:rPr>
      </w:pPr>
      <w:r>
        <w:rPr>
          <w:rFonts w:eastAsia="方正仿宋_GBK"/>
          <w:b/>
          <w:bCs/>
          <w:sz w:val="32"/>
          <w:szCs w:val="32"/>
        </w:rPr>
        <w:t>部分达标</w:t>
      </w:r>
      <w:r>
        <w:rPr>
          <w:rFonts w:eastAsia="方正仿宋_GBK"/>
          <w:sz w:val="32"/>
          <w:szCs w:val="32"/>
        </w:rPr>
        <w:t>：企业实际情况基本符合该项标准。该项标准中有分项标准（用（1）、（2）、（3）</w:t>
      </w:r>
      <w:r>
        <w:rPr>
          <w:rFonts w:hint="eastAsia" w:eastAsia="方正仿宋_GBK"/>
          <w:sz w:val="32"/>
          <w:szCs w:val="32"/>
        </w:rPr>
        <w:t>等</w:t>
      </w:r>
      <w:r>
        <w:rPr>
          <w:rFonts w:eastAsia="方正仿宋_GBK"/>
          <w:sz w:val="32"/>
          <w:szCs w:val="32"/>
        </w:rPr>
        <w:t>表示）的，也应基本符合每个分项标准。</w:t>
      </w:r>
    </w:p>
    <w:p>
      <w:pPr>
        <w:spacing w:line="560" w:lineRule="exact"/>
        <w:ind w:firstLine="640" w:firstLineChars="200"/>
        <w:rPr>
          <w:rFonts w:eastAsia="方正仿宋_GBK"/>
          <w:sz w:val="32"/>
          <w:szCs w:val="32"/>
        </w:rPr>
      </w:pPr>
      <w:r>
        <w:rPr>
          <w:rFonts w:eastAsia="方正仿宋_GBK"/>
          <w:b/>
          <w:bCs/>
          <w:sz w:val="32"/>
          <w:szCs w:val="32"/>
        </w:rPr>
        <w:t>不达标：</w:t>
      </w:r>
      <w:r>
        <w:rPr>
          <w:rFonts w:eastAsia="方正仿宋_GBK"/>
          <w:sz w:val="32"/>
          <w:szCs w:val="32"/>
        </w:rPr>
        <w:t>企业实际情况不符合该项标准。</w:t>
      </w:r>
    </w:p>
    <w:p>
      <w:pPr>
        <w:spacing w:line="560" w:lineRule="exact"/>
        <w:ind w:firstLine="640" w:firstLineChars="200"/>
        <w:rPr>
          <w:rFonts w:eastAsia="方正仿宋_GBK"/>
          <w:sz w:val="32"/>
          <w:szCs w:val="32"/>
        </w:rPr>
      </w:pPr>
      <w:r>
        <w:rPr>
          <w:rFonts w:eastAsia="方正仿宋_GBK"/>
          <w:sz w:val="32"/>
          <w:szCs w:val="32"/>
        </w:rPr>
        <w:t>相关标准项不适用于该经营类别企业的，</w:t>
      </w:r>
      <w:r>
        <w:rPr>
          <w:rFonts w:hint="eastAsia" w:eastAsia="方正仿宋_GBK"/>
          <w:sz w:val="32"/>
          <w:szCs w:val="32"/>
        </w:rPr>
        <w:t>贸促会</w:t>
      </w:r>
      <w:r>
        <w:rPr>
          <w:rFonts w:eastAsia="方正仿宋_GBK"/>
          <w:sz w:val="32"/>
          <w:szCs w:val="32"/>
        </w:rPr>
        <w:t>不</w:t>
      </w:r>
      <w:r>
        <w:rPr>
          <w:rFonts w:hint="eastAsia" w:eastAsia="方正仿宋_GBK"/>
          <w:sz w:val="32"/>
          <w:szCs w:val="32"/>
        </w:rPr>
        <w:t>再</w:t>
      </w:r>
      <w:r>
        <w:rPr>
          <w:rFonts w:eastAsia="方正仿宋_GBK"/>
          <w:sz w:val="32"/>
          <w:szCs w:val="32"/>
        </w:rPr>
        <w:t>对该项标准进行</w:t>
      </w:r>
      <w:r>
        <w:rPr>
          <w:rFonts w:hint="eastAsia" w:eastAsia="方正仿宋_GBK"/>
          <w:sz w:val="32"/>
          <w:szCs w:val="32"/>
        </w:rPr>
        <w:t>核准</w:t>
      </w:r>
      <w:r>
        <w:rPr>
          <w:rFonts w:eastAsia="方正仿宋_GBK"/>
          <w:sz w:val="32"/>
          <w:szCs w:val="32"/>
        </w:rPr>
        <w:t>。</w:t>
      </w:r>
    </w:p>
    <w:p>
      <w:pPr>
        <w:spacing w:line="560" w:lineRule="exact"/>
        <w:ind w:firstLine="640" w:firstLineChars="200"/>
        <w:rPr>
          <w:rFonts w:eastAsia="方正仿宋_GBK"/>
          <w:sz w:val="32"/>
          <w:szCs w:val="32"/>
        </w:rPr>
      </w:pPr>
      <w:r>
        <w:rPr>
          <w:rFonts w:eastAsia="方正楷体_GBK"/>
          <w:b/>
          <w:bCs/>
          <w:sz w:val="32"/>
          <w:szCs w:val="32"/>
        </w:rPr>
        <w:t>（二）附加标准赋分规则。</w:t>
      </w:r>
    </w:p>
    <w:p>
      <w:pPr>
        <w:spacing w:line="560" w:lineRule="exact"/>
        <w:ind w:firstLine="640" w:firstLineChars="200"/>
        <w:rPr>
          <w:rFonts w:eastAsia="方正仿宋_GBK"/>
          <w:sz w:val="32"/>
          <w:szCs w:val="32"/>
        </w:rPr>
      </w:pPr>
      <w:r>
        <w:rPr>
          <w:rFonts w:eastAsia="方正仿宋_GBK"/>
          <w:sz w:val="32"/>
          <w:szCs w:val="32"/>
        </w:rPr>
        <w:t>设定“符合”和“不适用”选项，对应分值为“2”和“0”。附加标准分值最高为“2”，不重复记分。</w:t>
      </w:r>
    </w:p>
    <w:p>
      <w:pPr>
        <w:spacing w:line="560" w:lineRule="exact"/>
        <w:ind w:firstLine="640" w:firstLineChars="200"/>
        <w:rPr>
          <w:rFonts w:eastAsia="方正仿宋_GBK"/>
          <w:sz w:val="32"/>
          <w:szCs w:val="32"/>
        </w:rPr>
      </w:pPr>
      <w:r>
        <w:rPr>
          <w:rFonts w:eastAsia="方正黑体_GBK"/>
          <w:sz w:val="32"/>
          <w:szCs w:val="32"/>
        </w:rPr>
        <w:t>三、关于</w:t>
      </w:r>
      <w:r>
        <w:rPr>
          <w:rFonts w:hint="eastAsia" w:eastAsia="方正黑体_GBK"/>
          <w:sz w:val="32"/>
          <w:szCs w:val="32"/>
        </w:rPr>
        <w:t>核准</w:t>
      </w:r>
      <w:r>
        <w:rPr>
          <w:rFonts w:eastAsia="方正黑体_GBK"/>
          <w:sz w:val="32"/>
          <w:szCs w:val="32"/>
        </w:rPr>
        <w:t>标准的通过条件</w:t>
      </w:r>
    </w:p>
    <w:p>
      <w:pPr>
        <w:spacing w:line="560" w:lineRule="exact"/>
        <w:ind w:firstLine="640" w:firstLineChars="200"/>
        <w:rPr>
          <w:rFonts w:eastAsia="方正仿宋_GBK"/>
          <w:sz w:val="32"/>
          <w:szCs w:val="32"/>
        </w:rPr>
      </w:pPr>
      <w:r>
        <w:rPr>
          <w:rFonts w:eastAsia="方正仿宋_GBK"/>
          <w:sz w:val="32"/>
          <w:szCs w:val="32"/>
        </w:rPr>
        <w:t>企业同时符合下列两个条件并经</w:t>
      </w:r>
      <w:r>
        <w:rPr>
          <w:rFonts w:hint="eastAsia" w:eastAsia="方正仿宋_GBK"/>
          <w:sz w:val="32"/>
          <w:szCs w:val="32"/>
        </w:rPr>
        <w:t>贸促会</w:t>
      </w:r>
      <w:r>
        <w:rPr>
          <w:rFonts w:eastAsia="方正仿宋_GBK"/>
          <w:sz w:val="32"/>
          <w:szCs w:val="32"/>
        </w:rPr>
        <w:t>认定的，通过</w:t>
      </w:r>
      <w:r>
        <w:rPr>
          <w:rFonts w:hint="eastAsia" w:eastAsia="方正仿宋_GBK"/>
          <w:sz w:val="32"/>
          <w:szCs w:val="32"/>
        </w:rPr>
        <w:t>企业自主打印核准</w:t>
      </w:r>
      <w:r>
        <w:rPr>
          <w:rFonts w:eastAsia="方正仿宋_GBK"/>
          <w:sz w:val="32"/>
          <w:szCs w:val="32"/>
        </w:rPr>
        <w:t>：</w:t>
      </w:r>
    </w:p>
    <w:p>
      <w:pPr>
        <w:autoSpaceDN w:val="0"/>
        <w:spacing w:line="56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所有赋分项目均没有不达标（-2分）情形；</w:t>
      </w:r>
    </w:p>
    <w:p>
      <w:pPr>
        <w:autoSpaceDN w:val="0"/>
        <w:spacing w:line="560" w:lineRule="exact"/>
        <w:ind w:firstLine="640" w:firstLineChars="200"/>
        <w:rPr>
          <w:rFonts w:eastAsia="方正仿宋_GBK"/>
          <w:sz w:val="32"/>
          <w:szCs w:val="32"/>
        </w:rPr>
      </w:pPr>
      <w:r>
        <w:rPr>
          <w:rFonts w:hint="eastAsia" w:eastAsia="方正仿宋_GBK"/>
          <w:sz w:val="32"/>
          <w:szCs w:val="32"/>
        </w:rPr>
        <w:t>2. 第二大类企业历史申报情况中均没有部分达标（-1）或不达标（-2）情形；</w:t>
      </w:r>
    </w:p>
    <w:p>
      <w:pPr>
        <w:spacing w:line="560" w:lineRule="exact"/>
        <w:ind w:firstLine="640" w:firstLineChars="200"/>
        <w:rPr>
          <w:rFonts w:eastAsia="方正仿宋_GBK"/>
          <w:sz w:val="32"/>
          <w:szCs w:val="32"/>
        </w:rPr>
      </w:pPr>
      <w:r>
        <w:rPr>
          <w:rFonts w:hint="eastAsia" w:eastAsia="方正仿宋_GBK"/>
          <w:sz w:val="32"/>
          <w:szCs w:val="32"/>
        </w:rPr>
        <w:t>3. 核准</w:t>
      </w:r>
      <w:r>
        <w:rPr>
          <w:rFonts w:eastAsia="方正仿宋_GBK"/>
          <w:sz w:val="32"/>
          <w:szCs w:val="32"/>
        </w:rPr>
        <w:t>标准总分在9</w:t>
      </w:r>
      <w:r>
        <w:rPr>
          <w:rFonts w:hint="eastAsia" w:eastAsia="方正仿宋_GBK"/>
          <w:sz w:val="32"/>
          <w:szCs w:val="32"/>
        </w:rPr>
        <w:t>5</w:t>
      </w:r>
      <w:r>
        <w:rPr>
          <w:rFonts w:eastAsia="方正仿宋_GBK"/>
          <w:sz w:val="32"/>
          <w:szCs w:val="32"/>
        </w:rPr>
        <w:t>分（含本数）以上。</w:t>
      </w:r>
    </w:p>
    <w:p>
      <w:pPr>
        <w:spacing w:line="560" w:lineRule="exact"/>
        <w:ind w:firstLine="640" w:firstLineChars="200"/>
        <w:rPr>
          <w:rFonts w:eastAsia="方正仿宋_GBK"/>
          <w:sz w:val="32"/>
          <w:szCs w:val="32"/>
        </w:rPr>
      </w:pPr>
      <w:r>
        <w:rPr>
          <w:rFonts w:hint="eastAsia" w:eastAsia="方正仿宋_GBK"/>
          <w:sz w:val="32"/>
          <w:szCs w:val="32"/>
        </w:rPr>
        <w:t>核准</w:t>
      </w:r>
      <w:r>
        <w:rPr>
          <w:rFonts w:eastAsia="方正仿宋_GBK"/>
          <w:sz w:val="32"/>
          <w:szCs w:val="32"/>
        </w:rPr>
        <w:t>标准总分=100+（所有赋分项目得分总和）。</w:t>
      </w:r>
    </w:p>
    <w:p>
      <w:pPr>
        <w:spacing w:line="560" w:lineRule="exact"/>
        <w:ind w:firstLine="640" w:firstLineChars="200"/>
        <w:rPr>
          <w:rFonts w:eastAsia="方正仿宋_GBK"/>
          <w:sz w:val="32"/>
          <w:szCs w:val="32"/>
        </w:rPr>
      </w:pPr>
      <w:r>
        <w:rPr>
          <w:rFonts w:eastAsia="方正黑体_GBK"/>
          <w:sz w:val="32"/>
          <w:szCs w:val="32"/>
        </w:rPr>
        <w:t>四、关于</w:t>
      </w:r>
      <w:r>
        <w:rPr>
          <w:rFonts w:hint="eastAsia" w:eastAsia="方正黑体_GBK"/>
          <w:sz w:val="32"/>
          <w:szCs w:val="32"/>
        </w:rPr>
        <w:t>核准</w:t>
      </w:r>
      <w:r>
        <w:rPr>
          <w:rFonts w:eastAsia="方正黑体_GBK"/>
          <w:sz w:val="32"/>
          <w:szCs w:val="32"/>
        </w:rPr>
        <w:t>标准的自我评估</w:t>
      </w:r>
    </w:p>
    <w:p>
      <w:pPr>
        <w:spacing w:line="560" w:lineRule="exact"/>
        <w:ind w:firstLine="640" w:firstLineChars="200"/>
        <w:rPr>
          <w:rFonts w:eastAsia="方正仿宋_GBK"/>
          <w:sz w:val="32"/>
          <w:szCs w:val="32"/>
        </w:rPr>
      </w:pPr>
      <w:r>
        <w:rPr>
          <w:rFonts w:eastAsia="方正仿宋_GBK"/>
          <w:sz w:val="32"/>
          <w:szCs w:val="32"/>
        </w:rPr>
        <w:t>企业向</w:t>
      </w:r>
      <w:r>
        <w:rPr>
          <w:rFonts w:hint="eastAsia" w:eastAsia="方正仿宋_GBK"/>
          <w:sz w:val="32"/>
          <w:szCs w:val="32"/>
        </w:rPr>
        <w:t>贸促会</w:t>
      </w:r>
      <w:r>
        <w:rPr>
          <w:rFonts w:eastAsia="方正仿宋_GBK"/>
          <w:sz w:val="32"/>
          <w:szCs w:val="32"/>
        </w:rPr>
        <w:t>提出</w:t>
      </w:r>
      <w:r>
        <w:rPr>
          <w:rFonts w:hint="eastAsia" w:eastAsia="方正仿宋_GBK"/>
          <w:sz w:val="32"/>
          <w:szCs w:val="32"/>
        </w:rPr>
        <w:t>自主打印资格</w:t>
      </w:r>
      <w:r>
        <w:rPr>
          <w:rFonts w:eastAsia="方正仿宋_GBK"/>
          <w:sz w:val="32"/>
          <w:szCs w:val="32"/>
        </w:rPr>
        <w:t>申请前，应当按照本</w:t>
      </w:r>
      <w:r>
        <w:rPr>
          <w:rFonts w:hint="eastAsia" w:eastAsia="方正仿宋_GBK"/>
          <w:sz w:val="32"/>
          <w:szCs w:val="32"/>
        </w:rPr>
        <w:t>核准</w:t>
      </w:r>
      <w:r>
        <w:rPr>
          <w:rFonts w:eastAsia="方正仿宋_GBK"/>
          <w:sz w:val="32"/>
          <w:szCs w:val="32"/>
        </w:rPr>
        <w:t>标准进行自我评估，并将自我评估报告随申请</w:t>
      </w:r>
      <w:r>
        <w:rPr>
          <w:rFonts w:hint="eastAsia" w:eastAsia="方正仿宋_GBK"/>
          <w:sz w:val="32"/>
          <w:szCs w:val="32"/>
        </w:rPr>
        <w:t>材料</w:t>
      </w:r>
      <w:r>
        <w:rPr>
          <w:rFonts w:eastAsia="方正仿宋_GBK"/>
          <w:sz w:val="32"/>
          <w:szCs w:val="32"/>
        </w:rPr>
        <w:t>一并提交</w:t>
      </w:r>
      <w:r>
        <w:rPr>
          <w:rFonts w:hint="eastAsia" w:eastAsia="方正仿宋_GBK"/>
          <w:sz w:val="32"/>
          <w:szCs w:val="32"/>
        </w:rPr>
        <w:t>贸促会</w:t>
      </w:r>
      <w:r>
        <w:rPr>
          <w:rFonts w:eastAsia="方正仿宋_GBK"/>
          <w:sz w:val="32"/>
          <w:szCs w:val="32"/>
        </w:rPr>
        <w:t>。</w:t>
      </w:r>
    </w:p>
    <w:p>
      <w:pPr>
        <w:spacing w:line="560" w:lineRule="exact"/>
        <w:ind w:firstLine="640" w:firstLineChars="200"/>
        <w:rPr>
          <w:rFonts w:eastAsia="方正仿宋_GBK"/>
          <w:sz w:val="32"/>
          <w:szCs w:val="32"/>
        </w:rPr>
      </w:pPr>
      <w:r>
        <w:rPr>
          <w:rFonts w:eastAsia="方正黑体_GBK"/>
          <w:sz w:val="32"/>
          <w:szCs w:val="32"/>
        </w:rPr>
        <w:t>五、关于规范改进情形的适用</w:t>
      </w:r>
    </w:p>
    <w:p>
      <w:pPr>
        <w:spacing w:before="156" w:beforeLines="50"/>
        <w:jc w:val="left"/>
        <w:rPr>
          <w:rFonts w:eastAsia="方正仿宋_GBK"/>
          <w:sz w:val="32"/>
          <w:szCs w:val="32"/>
        </w:rPr>
        <w:sectPr>
          <w:footerReference r:id="rId3" w:type="default"/>
          <w:footerReference r:id="rId4" w:type="even"/>
          <w:pgSz w:w="11906" w:h="16838"/>
          <w:pgMar w:top="1304" w:right="1797" w:bottom="1304" w:left="1797" w:header="851" w:footer="992" w:gutter="0"/>
          <w:pgNumType w:fmt="numberInDash"/>
          <w:cols w:space="425" w:num="1"/>
          <w:docGrid w:type="lines" w:linePitch="312" w:charSpace="0"/>
        </w:sectPr>
      </w:pPr>
      <w:r>
        <w:rPr>
          <w:rFonts w:hint="eastAsia" w:eastAsia="方正仿宋_GBK"/>
          <w:sz w:val="32"/>
          <w:szCs w:val="32"/>
        </w:rPr>
        <w:t xml:space="preserve">    </w:t>
      </w:r>
      <w:r>
        <w:rPr>
          <w:rFonts w:eastAsia="方正仿宋_GBK"/>
          <w:sz w:val="32"/>
          <w:szCs w:val="32"/>
        </w:rPr>
        <w:t>除本</w:t>
      </w:r>
      <w:r>
        <w:rPr>
          <w:rFonts w:hint="eastAsia" w:eastAsia="方正仿宋_GBK"/>
          <w:sz w:val="32"/>
          <w:szCs w:val="32"/>
        </w:rPr>
        <w:t>核准</w:t>
      </w:r>
      <w:r>
        <w:rPr>
          <w:rFonts w:eastAsia="方正仿宋_GBK"/>
          <w:sz w:val="32"/>
          <w:szCs w:val="32"/>
        </w:rPr>
        <w:t>标准第</w:t>
      </w:r>
      <w:r>
        <w:rPr>
          <w:rFonts w:hint="eastAsia" w:eastAsia="方正仿宋_GBK"/>
          <w:sz w:val="32"/>
          <w:szCs w:val="32"/>
        </w:rPr>
        <w:t>4</w:t>
      </w:r>
      <w:r>
        <w:rPr>
          <w:rFonts w:eastAsia="方正仿宋_GBK"/>
          <w:sz w:val="32"/>
          <w:szCs w:val="32"/>
        </w:rPr>
        <w:t>项外，其他项不达标或者部分达标的，允许企业规范改进。规范改进期限由</w:t>
      </w:r>
      <w:r>
        <w:rPr>
          <w:rFonts w:hint="eastAsia" w:eastAsia="方正仿宋_GBK"/>
          <w:sz w:val="32"/>
          <w:szCs w:val="32"/>
        </w:rPr>
        <w:t>贸促会</w:t>
      </w:r>
      <w:r>
        <w:rPr>
          <w:rFonts w:eastAsia="方正仿宋_GBK"/>
          <w:sz w:val="32"/>
          <w:szCs w:val="32"/>
        </w:rPr>
        <w:t>确定，最长不超过90日。根据规范改进情况，</w:t>
      </w:r>
      <w:r>
        <w:rPr>
          <w:rFonts w:hint="eastAsia" w:eastAsia="方正仿宋_GBK"/>
          <w:sz w:val="32"/>
          <w:szCs w:val="32"/>
        </w:rPr>
        <w:t>贸促会</w:t>
      </w:r>
      <w:r>
        <w:rPr>
          <w:rFonts w:eastAsia="方正仿宋_GBK"/>
          <w:sz w:val="32"/>
          <w:szCs w:val="32"/>
        </w:rPr>
        <w:t>认定是否通过</w:t>
      </w:r>
      <w:r>
        <w:rPr>
          <w:rFonts w:hint="eastAsia" w:eastAsia="方正仿宋_GBK"/>
          <w:sz w:val="32"/>
          <w:szCs w:val="32"/>
        </w:rPr>
        <w:t>核准</w:t>
      </w:r>
      <w:r>
        <w:rPr>
          <w:rFonts w:eastAsia="方正仿宋_GBK"/>
          <w:sz w:val="32"/>
          <w:szCs w:val="32"/>
        </w:rPr>
        <w:t>。</w:t>
      </w:r>
    </w:p>
    <w:p>
      <w:pPr>
        <w:ind w:firstLine="630"/>
        <w:jc w:val="center"/>
        <w:rPr>
          <w:rFonts w:eastAsia="方正小标宋_GBK"/>
          <w:sz w:val="44"/>
          <w:szCs w:val="44"/>
        </w:rPr>
      </w:pPr>
      <w:r>
        <w:rPr>
          <w:rFonts w:hint="eastAsia" w:eastAsia="方正小标宋_GBK"/>
          <w:sz w:val="44"/>
          <w:szCs w:val="44"/>
        </w:rPr>
        <w:t>贸促会核准原产地证书自主打印企业标准</w:t>
      </w:r>
    </w:p>
    <w:p>
      <w:pPr>
        <w:ind w:firstLine="630"/>
        <w:jc w:val="left"/>
        <w:rPr>
          <w:rFonts w:eastAsia="方正小标宋_GBK"/>
          <w:sz w:val="32"/>
          <w:szCs w:val="32"/>
        </w:rPr>
      </w:pPr>
      <w:r>
        <w:rPr>
          <w:rFonts w:hint="eastAsia"/>
          <w:color w:val="000000"/>
          <w:kern w:val="0"/>
          <w:sz w:val="24"/>
          <w:szCs w:val="24"/>
        </w:rPr>
        <w:t>表格打分说明：基础分100分，采用扣分制，核准通过基本条件之一为达到95分及以上。</w:t>
      </w:r>
    </w:p>
    <w:tbl>
      <w:tblPr>
        <w:tblStyle w:val="5"/>
        <w:tblW w:w="15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26"/>
        <w:gridCol w:w="8602"/>
        <w:gridCol w:w="745"/>
        <w:gridCol w:w="1050"/>
        <w:gridCol w:w="94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49" w:type="dxa"/>
            <w:gridSpan w:val="3"/>
            <w:shd w:val="clear" w:color="auto" w:fill="auto"/>
            <w:vAlign w:val="center"/>
          </w:tcPr>
          <w:p>
            <w:pPr>
              <w:widowControl/>
              <w:jc w:val="center"/>
              <w:rPr>
                <w:b/>
                <w:bCs/>
                <w:color w:val="000000"/>
                <w:kern w:val="0"/>
                <w:sz w:val="24"/>
                <w:szCs w:val="24"/>
              </w:rPr>
            </w:pPr>
            <w:r>
              <w:rPr>
                <w:rFonts w:hint="eastAsia"/>
                <w:b/>
                <w:bCs/>
                <w:color w:val="000000"/>
                <w:kern w:val="0"/>
                <w:sz w:val="24"/>
                <w:szCs w:val="24"/>
              </w:rPr>
              <w:t>核准</w:t>
            </w:r>
            <w:r>
              <w:rPr>
                <w:b/>
                <w:bCs/>
                <w:color w:val="000000"/>
                <w:kern w:val="0"/>
                <w:sz w:val="24"/>
                <w:szCs w:val="24"/>
              </w:rPr>
              <w:t>标准</w:t>
            </w:r>
          </w:p>
        </w:tc>
        <w:tc>
          <w:tcPr>
            <w:tcW w:w="3683" w:type="dxa"/>
            <w:gridSpan w:val="4"/>
            <w:shd w:val="clear" w:color="auto" w:fill="auto"/>
            <w:vAlign w:val="center"/>
          </w:tcPr>
          <w:p>
            <w:pPr>
              <w:widowControl/>
              <w:jc w:val="center"/>
              <w:rPr>
                <w:b/>
                <w:bCs/>
                <w:color w:val="000000"/>
                <w:kern w:val="0"/>
                <w:sz w:val="24"/>
                <w:szCs w:val="24"/>
              </w:rPr>
            </w:pPr>
            <w:r>
              <w:rPr>
                <w:b/>
                <w:bCs/>
                <w:color w:val="000000"/>
                <w:kern w:val="0"/>
                <w:sz w:val="24"/>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49" w:type="dxa"/>
            <w:gridSpan w:val="3"/>
            <w:vAlign w:val="center"/>
          </w:tcPr>
          <w:p>
            <w:pPr>
              <w:widowControl/>
              <w:jc w:val="left"/>
              <w:rPr>
                <w:b/>
                <w:bCs/>
                <w:kern w:val="0"/>
                <w:sz w:val="24"/>
                <w:szCs w:val="24"/>
              </w:rPr>
            </w:pPr>
            <w:r>
              <w:rPr>
                <w:rFonts w:hint="eastAsia"/>
                <w:b/>
                <w:bCs/>
                <w:kern w:val="0"/>
                <w:sz w:val="24"/>
                <w:szCs w:val="24"/>
              </w:rPr>
              <w:t>一、备案信息标准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b/>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ind w:left="-66" w:right="-10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rFonts w:hint="eastAsia"/>
                <w:color w:val="000000"/>
                <w:kern w:val="0"/>
                <w:sz w:val="24"/>
                <w:szCs w:val="24"/>
              </w:rPr>
              <w:t>（一）信息完整、准确及更新及时度</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1、企业基本信息完整、准确及更新及时度</w:t>
            </w:r>
          </w:p>
        </w:tc>
        <w:tc>
          <w:tcPr>
            <w:tcW w:w="8602" w:type="dxa"/>
            <w:shd w:val="clear" w:color="auto" w:fill="auto"/>
            <w:vAlign w:val="center"/>
          </w:tcPr>
          <w:p>
            <w:pPr>
              <w:jc w:val="left"/>
              <w:rPr>
                <w:color w:val="000000"/>
                <w:kern w:val="0"/>
                <w:sz w:val="24"/>
                <w:szCs w:val="24"/>
              </w:rPr>
            </w:pPr>
            <w:r>
              <w:rPr>
                <w:color w:val="000000"/>
                <w:kern w:val="0"/>
                <w:sz w:val="24"/>
                <w:szCs w:val="24"/>
              </w:rPr>
              <w:t>按规定</w:t>
            </w:r>
            <w:r>
              <w:rPr>
                <w:rFonts w:hint="eastAsia"/>
                <w:color w:val="000000"/>
                <w:kern w:val="0"/>
                <w:sz w:val="24"/>
                <w:szCs w:val="24"/>
              </w:rPr>
              <w:t>提交</w:t>
            </w:r>
            <w:r>
              <w:rPr>
                <w:color w:val="000000"/>
                <w:kern w:val="0"/>
                <w:sz w:val="24"/>
                <w:szCs w:val="24"/>
              </w:rPr>
              <w:t>《注册信息》，企业</w:t>
            </w:r>
            <w:r>
              <w:rPr>
                <w:rFonts w:hint="eastAsia"/>
                <w:color w:val="000000"/>
                <w:kern w:val="0"/>
                <w:sz w:val="24"/>
                <w:szCs w:val="24"/>
              </w:rPr>
              <w:t>基本信息在贸促会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2、企业业务人员信息完整、准确及更新及时度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企业业务人员信息在贸促会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p>
            <w:pPr>
              <w:widowControl/>
              <w:rPr>
                <w:color w:val="000000"/>
                <w:kern w:val="0"/>
                <w:sz w:val="24"/>
                <w:szCs w:val="24"/>
              </w:rPr>
            </w:pP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3、企业货物原产地信息完整、准确及更新及时度</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企业货物原产地信息在贸促会</w:t>
            </w:r>
            <w:r>
              <w:rPr>
                <w:color w:val="000000"/>
                <w:kern w:val="0"/>
                <w:sz w:val="24"/>
                <w:szCs w:val="24"/>
              </w:rPr>
              <w:t>的注册登记内容与实际相符</w:t>
            </w:r>
            <w:r>
              <w:rPr>
                <w:rFonts w:hint="eastAsia"/>
                <w:color w:val="000000"/>
                <w:kern w:val="0"/>
                <w:sz w:val="24"/>
                <w:szCs w:val="24"/>
              </w:rPr>
              <w:t>、</w:t>
            </w:r>
            <w:r>
              <w:rPr>
                <w:color w:val="000000"/>
                <w:kern w:val="0"/>
                <w:sz w:val="24"/>
                <w:szCs w:val="24"/>
              </w:rPr>
              <w:t>内容</w:t>
            </w:r>
            <w:r>
              <w:rPr>
                <w:rFonts w:hint="eastAsia"/>
                <w:color w:val="000000"/>
                <w:kern w:val="0"/>
                <w:sz w:val="24"/>
                <w:szCs w:val="24"/>
              </w:rPr>
              <w:t>发生变化时及时更新</w:t>
            </w:r>
            <w:r>
              <w:rPr>
                <w:color w:val="000000"/>
                <w:kern w:val="0"/>
                <w:sz w:val="24"/>
                <w:szCs w:val="24"/>
              </w:rPr>
              <w:t>。</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749" w:type="dxa"/>
            <w:gridSpan w:val="3"/>
            <w:shd w:val="clear" w:color="auto" w:fill="auto"/>
            <w:vAlign w:val="center"/>
          </w:tcPr>
          <w:p>
            <w:pPr>
              <w:widowControl/>
              <w:rPr>
                <w:color w:val="000000"/>
                <w:kern w:val="0"/>
                <w:sz w:val="24"/>
                <w:szCs w:val="24"/>
              </w:rPr>
            </w:pPr>
            <w:r>
              <w:rPr>
                <w:rFonts w:hint="eastAsia"/>
                <w:b/>
                <w:bCs/>
                <w:kern w:val="0"/>
                <w:sz w:val="24"/>
                <w:szCs w:val="24"/>
              </w:rPr>
              <w:t>二、企业历史申报情况</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二</w:t>
            </w:r>
            <w:r>
              <w:rPr>
                <w:color w:val="000000"/>
                <w:kern w:val="0"/>
                <w:sz w:val="24"/>
                <w:szCs w:val="24"/>
              </w:rPr>
              <w:t>）</w:t>
            </w:r>
          </w:p>
          <w:p>
            <w:pPr>
              <w:widowControl/>
              <w:jc w:val="center"/>
              <w:rPr>
                <w:color w:val="000000"/>
                <w:kern w:val="0"/>
                <w:sz w:val="24"/>
                <w:szCs w:val="24"/>
              </w:rPr>
            </w:pPr>
            <w:r>
              <w:rPr>
                <w:color w:val="000000"/>
                <w:kern w:val="0"/>
                <w:sz w:val="24"/>
                <w:szCs w:val="24"/>
              </w:rPr>
              <w:t>符合</w:t>
            </w:r>
            <w:r>
              <w:rPr>
                <w:rFonts w:hint="eastAsia"/>
                <w:color w:val="000000"/>
                <w:kern w:val="0"/>
                <w:sz w:val="24"/>
                <w:szCs w:val="24"/>
              </w:rPr>
              <w:t>贸促会</w:t>
            </w:r>
            <w:r>
              <w:rPr>
                <w:color w:val="000000"/>
                <w:kern w:val="0"/>
                <w:sz w:val="24"/>
                <w:szCs w:val="24"/>
              </w:rPr>
              <w:t>管理要求</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4、</w:t>
            </w:r>
            <w:r>
              <w:rPr>
                <w:color w:val="000000"/>
                <w:kern w:val="0"/>
                <w:sz w:val="24"/>
                <w:szCs w:val="24"/>
              </w:rPr>
              <w:t>管理要求</w:t>
            </w:r>
          </w:p>
        </w:tc>
        <w:tc>
          <w:tcPr>
            <w:tcW w:w="8602" w:type="dxa"/>
            <w:shd w:val="clear" w:color="auto" w:fill="auto"/>
            <w:vAlign w:val="center"/>
          </w:tcPr>
          <w:p>
            <w:pPr>
              <w:widowControl/>
              <w:jc w:val="left"/>
              <w:rPr>
                <w:color w:val="000000"/>
                <w:kern w:val="0"/>
                <w:sz w:val="24"/>
                <w:szCs w:val="24"/>
              </w:rPr>
            </w:pPr>
            <w:r>
              <w:rPr>
                <w:color w:val="000000"/>
                <w:kern w:val="0"/>
                <w:sz w:val="24"/>
                <w:szCs w:val="24"/>
              </w:rPr>
              <w:t>（1）</w:t>
            </w:r>
            <w:r>
              <w:rPr>
                <w:rFonts w:hint="eastAsia"/>
                <w:color w:val="000000"/>
                <w:kern w:val="0"/>
                <w:sz w:val="24"/>
                <w:szCs w:val="24"/>
              </w:rPr>
              <w:t>在历史申报过程中</w:t>
            </w:r>
            <w:r>
              <w:rPr>
                <w:color w:val="000000"/>
                <w:kern w:val="0"/>
                <w:sz w:val="24"/>
                <w:szCs w:val="24"/>
              </w:rPr>
              <w:t>未发现有向</w:t>
            </w:r>
            <w:r>
              <w:rPr>
                <w:rFonts w:hint="eastAsia"/>
                <w:color w:val="000000"/>
                <w:kern w:val="0"/>
                <w:sz w:val="24"/>
                <w:szCs w:val="24"/>
              </w:rPr>
              <w:t>贸促会</w:t>
            </w:r>
            <w:r>
              <w:rPr>
                <w:color w:val="000000"/>
                <w:kern w:val="0"/>
                <w:sz w:val="24"/>
                <w:szCs w:val="24"/>
              </w:rPr>
              <w:t>提供虚假情况或者隐瞒重要事实、拒绝或者拖延提供</w:t>
            </w:r>
            <w:r>
              <w:rPr>
                <w:rFonts w:hint="eastAsia"/>
                <w:color w:val="000000"/>
                <w:kern w:val="0"/>
                <w:sz w:val="24"/>
                <w:szCs w:val="24"/>
              </w:rPr>
              <w:t>原产地佐证</w:t>
            </w:r>
            <w:r>
              <w:rPr>
                <w:color w:val="000000"/>
                <w:kern w:val="0"/>
                <w:sz w:val="24"/>
                <w:szCs w:val="24"/>
              </w:rPr>
              <w:t>资料、故意转移、隐匿、篡改、毁弃账簿单证资料等逃避</w:t>
            </w:r>
            <w:r>
              <w:rPr>
                <w:rFonts w:hint="eastAsia"/>
                <w:color w:val="000000"/>
                <w:kern w:val="0"/>
                <w:sz w:val="24"/>
                <w:szCs w:val="24"/>
              </w:rPr>
              <w:t>贸促会核查</w:t>
            </w:r>
            <w:r>
              <w:rPr>
                <w:color w:val="000000"/>
                <w:kern w:val="0"/>
                <w:sz w:val="24"/>
                <w:szCs w:val="24"/>
              </w:rPr>
              <w:t>的情形，或者无正当理由拒不配合</w:t>
            </w:r>
            <w:r>
              <w:rPr>
                <w:rFonts w:hint="eastAsia"/>
                <w:color w:val="000000"/>
                <w:kern w:val="0"/>
                <w:sz w:val="24"/>
                <w:szCs w:val="24"/>
              </w:rPr>
              <w:t>贸促会联合海关</w:t>
            </w:r>
            <w:r>
              <w:rPr>
                <w:color w:val="000000"/>
                <w:kern w:val="0"/>
                <w:sz w:val="24"/>
                <w:szCs w:val="24"/>
              </w:rPr>
              <w:t>执法或者管理的情形。</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left"/>
              <w:rPr>
                <w:color w:val="000000"/>
                <w:kern w:val="0"/>
                <w:sz w:val="24"/>
                <w:szCs w:val="24"/>
              </w:rPr>
            </w:pPr>
          </w:p>
        </w:tc>
        <w:tc>
          <w:tcPr>
            <w:tcW w:w="941" w:type="dxa"/>
            <w:shd w:val="clear" w:color="auto" w:fill="auto"/>
            <w:vAlign w:val="center"/>
          </w:tcPr>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w:t>
            </w:r>
            <w:r>
              <w:rPr>
                <w:rFonts w:hint="eastAsia"/>
                <w:color w:val="000000"/>
                <w:kern w:val="0"/>
                <w:sz w:val="24"/>
                <w:szCs w:val="24"/>
              </w:rPr>
              <w:t>在历史申报过程中</w:t>
            </w:r>
            <w:r>
              <w:rPr>
                <w:color w:val="000000"/>
                <w:kern w:val="0"/>
                <w:sz w:val="24"/>
                <w:szCs w:val="24"/>
              </w:rPr>
              <w:t>未发现企业报送信息有隐瞒真实情况、弄虚作假的情形。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w:t>
            </w:r>
            <w:r>
              <w:rPr>
                <w:rFonts w:hint="eastAsia"/>
                <w:color w:val="000000"/>
                <w:kern w:val="0"/>
                <w:sz w:val="24"/>
                <w:szCs w:val="24"/>
              </w:rPr>
              <w:t>在历史申报过程中</w:t>
            </w:r>
            <w:r>
              <w:rPr>
                <w:color w:val="000000"/>
                <w:kern w:val="0"/>
                <w:sz w:val="24"/>
                <w:szCs w:val="24"/>
              </w:rPr>
              <w:t>未发现有假借</w:t>
            </w:r>
            <w:r>
              <w:rPr>
                <w:rFonts w:hint="eastAsia"/>
                <w:color w:val="000000"/>
                <w:kern w:val="0"/>
                <w:sz w:val="24"/>
                <w:szCs w:val="24"/>
              </w:rPr>
              <w:t>贸促会</w:t>
            </w:r>
            <w:r>
              <w:rPr>
                <w:color w:val="000000"/>
                <w:kern w:val="0"/>
                <w:sz w:val="24"/>
                <w:szCs w:val="24"/>
              </w:rPr>
              <w:t>或者其他企业名义获取不当利益的情形。</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749" w:type="dxa"/>
            <w:gridSpan w:val="3"/>
            <w:shd w:val="clear" w:color="auto" w:fill="auto"/>
            <w:vAlign w:val="center"/>
          </w:tcPr>
          <w:p>
            <w:pPr>
              <w:widowControl/>
              <w:jc w:val="center"/>
              <w:rPr>
                <w:color w:val="000000"/>
                <w:kern w:val="0"/>
                <w:sz w:val="24"/>
                <w:szCs w:val="24"/>
              </w:rPr>
            </w:pPr>
          </w:p>
          <w:p>
            <w:pPr>
              <w:widowControl/>
              <w:rPr>
                <w:color w:val="000000"/>
                <w:kern w:val="0"/>
                <w:sz w:val="24"/>
                <w:szCs w:val="24"/>
              </w:rPr>
            </w:pPr>
            <w:r>
              <w:rPr>
                <w:rFonts w:hint="eastAsia"/>
                <w:b/>
                <w:bCs/>
                <w:kern w:val="0"/>
                <w:sz w:val="24"/>
                <w:szCs w:val="24"/>
              </w:rPr>
              <w:t>三、企业内部管理</w:t>
            </w:r>
          </w:p>
        </w:tc>
        <w:tc>
          <w:tcPr>
            <w:tcW w:w="745" w:type="dxa"/>
            <w:shd w:val="clear" w:color="auto" w:fill="auto"/>
            <w:vAlign w:val="center"/>
          </w:tcPr>
          <w:p>
            <w:pPr>
              <w:widowControl/>
              <w:jc w:val="center"/>
              <w:rPr>
                <w:b/>
                <w:kern w:val="0"/>
                <w:sz w:val="24"/>
                <w:szCs w:val="24"/>
              </w:rPr>
            </w:pPr>
            <w:r>
              <w:rPr>
                <w:b/>
                <w:kern w:val="0"/>
                <w:sz w:val="24"/>
                <w:szCs w:val="24"/>
              </w:rPr>
              <w:t>达标</w:t>
            </w:r>
          </w:p>
          <w:p>
            <w:pPr>
              <w:widowControl/>
              <w:jc w:val="center"/>
              <w:rPr>
                <w:color w:val="000000"/>
                <w:kern w:val="0"/>
                <w:sz w:val="24"/>
                <w:szCs w:val="24"/>
              </w:rPr>
            </w:pPr>
            <w:r>
              <w:rPr>
                <w:b/>
                <w:kern w:val="0"/>
                <w:sz w:val="24"/>
                <w:szCs w:val="24"/>
              </w:rPr>
              <w:t>0</w:t>
            </w:r>
          </w:p>
        </w:tc>
        <w:tc>
          <w:tcPr>
            <w:tcW w:w="1050" w:type="dxa"/>
            <w:shd w:val="clear" w:color="auto" w:fill="auto"/>
            <w:vAlign w:val="center"/>
          </w:tcPr>
          <w:p>
            <w:pPr>
              <w:widowControl/>
              <w:ind w:left="-66" w:right="-105"/>
              <w:jc w:val="center"/>
              <w:rPr>
                <w:b/>
                <w:kern w:val="0"/>
                <w:sz w:val="24"/>
                <w:szCs w:val="24"/>
              </w:rPr>
            </w:pPr>
            <w:r>
              <w:rPr>
                <w:b/>
                <w:kern w:val="0"/>
                <w:sz w:val="24"/>
                <w:szCs w:val="24"/>
              </w:rPr>
              <w:t>部分达标</w:t>
            </w:r>
          </w:p>
          <w:p>
            <w:pPr>
              <w:widowControl/>
              <w:jc w:val="center"/>
              <w:rPr>
                <w:color w:val="000000"/>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color w:val="000000"/>
                <w:kern w:val="0"/>
                <w:sz w:val="24"/>
                <w:szCs w:val="24"/>
              </w:rPr>
            </w:pPr>
            <w:r>
              <w:rPr>
                <w:b/>
                <w:kern w:val="0"/>
                <w:sz w:val="24"/>
                <w:szCs w:val="24"/>
              </w:rPr>
              <w:t>-2</w:t>
            </w:r>
          </w:p>
        </w:tc>
        <w:tc>
          <w:tcPr>
            <w:tcW w:w="941" w:type="dxa"/>
            <w:shd w:val="clear" w:color="auto" w:fill="auto"/>
            <w:vAlign w:val="center"/>
          </w:tcPr>
          <w:p>
            <w:pPr>
              <w:widowControl/>
              <w:jc w:val="center"/>
              <w:rPr>
                <w:b/>
                <w:kern w:val="0"/>
                <w:sz w:val="24"/>
                <w:szCs w:val="24"/>
              </w:rPr>
            </w:pPr>
            <w:r>
              <w:rPr>
                <w:b/>
                <w:kern w:val="0"/>
                <w:sz w:val="24"/>
                <w:szCs w:val="24"/>
              </w:rPr>
              <w:t>不适用</w:t>
            </w:r>
          </w:p>
          <w:p>
            <w:pPr>
              <w:widowControl/>
              <w:jc w:val="center"/>
              <w:rPr>
                <w:color w:val="000000"/>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三</w:t>
            </w:r>
            <w:r>
              <w:rPr>
                <w:color w:val="000000"/>
                <w:kern w:val="0"/>
                <w:sz w:val="24"/>
                <w:szCs w:val="24"/>
              </w:rPr>
              <w:t>）</w:t>
            </w:r>
          </w:p>
          <w:p>
            <w:pPr>
              <w:widowControl/>
              <w:jc w:val="center"/>
              <w:rPr>
                <w:color w:val="000000"/>
                <w:kern w:val="0"/>
                <w:sz w:val="24"/>
                <w:szCs w:val="24"/>
              </w:rPr>
            </w:pPr>
            <w:r>
              <w:rPr>
                <w:color w:val="000000"/>
                <w:kern w:val="0"/>
                <w:sz w:val="24"/>
                <w:szCs w:val="24"/>
              </w:rPr>
              <w:t>组织机构控制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5</w:t>
            </w:r>
            <w:r>
              <w:rPr>
                <w:color w:val="000000"/>
                <w:kern w:val="0"/>
                <w:sz w:val="24"/>
                <w:szCs w:val="24"/>
              </w:rPr>
              <w:t>.内部组织架构</w:t>
            </w:r>
          </w:p>
        </w:tc>
        <w:tc>
          <w:tcPr>
            <w:tcW w:w="8602" w:type="dxa"/>
            <w:shd w:val="clear" w:color="auto" w:fill="auto"/>
            <w:vAlign w:val="center"/>
          </w:tcPr>
          <w:p>
            <w:pPr>
              <w:widowControl/>
              <w:rPr>
                <w:color w:val="000000"/>
                <w:kern w:val="0"/>
                <w:sz w:val="24"/>
                <w:szCs w:val="24"/>
              </w:rPr>
            </w:pPr>
            <w:r>
              <w:rPr>
                <w:color w:val="000000"/>
                <w:kern w:val="0"/>
                <w:sz w:val="24"/>
                <w:szCs w:val="24"/>
              </w:rPr>
              <w:t>指定</w:t>
            </w:r>
            <w:r>
              <w:rPr>
                <w:rFonts w:hint="eastAsia"/>
                <w:color w:val="000000"/>
                <w:kern w:val="0"/>
                <w:sz w:val="24"/>
                <w:szCs w:val="24"/>
              </w:rPr>
              <w:t>专门</w:t>
            </w:r>
            <w:r>
              <w:rPr>
                <w:color w:val="000000"/>
                <w:kern w:val="0"/>
                <w:sz w:val="24"/>
                <w:szCs w:val="24"/>
              </w:rPr>
              <w:t>管理人员负责</w:t>
            </w:r>
            <w:r>
              <w:rPr>
                <w:rFonts w:hint="eastAsia"/>
                <w:color w:val="000000"/>
                <w:kern w:val="0"/>
                <w:sz w:val="24"/>
                <w:szCs w:val="24"/>
              </w:rPr>
              <w:t>原产地证书申办业务</w:t>
            </w:r>
            <w:r>
              <w:rPr>
                <w:color w:val="000000"/>
                <w:kern w:val="0"/>
                <w:sz w:val="24"/>
                <w:szCs w:val="24"/>
              </w:rPr>
              <w:t>，对企业</w:t>
            </w:r>
            <w:r>
              <w:rPr>
                <w:rFonts w:hint="eastAsia"/>
                <w:color w:val="000000"/>
                <w:kern w:val="0"/>
                <w:sz w:val="24"/>
                <w:szCs w:val="24"/>
              </w:rPr>
              <w:t>申办原产地证书</w:t>
            </w:r>
            <w:r>
              <w:rPr>
                <w:color w:val="000000"/>
                <w:kern w:val="0"/>
                <w:sz w:val="24"/>
                <w:szCs w:val="24"/>
              </w:rPr>
              <w:t>建立书面或者电子档案。</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原产地</w:t>
            </w:r>
            <w:r>
              <w:rPr>
                <w:color w:val="000000"/>
                <w:kern w:val="0"/>
                <w:sz w:val="24"/>
                <w:szCs w:val="24"/>
              </w:rPr>
              <w:t>业务培训</w:t>
            </w:r>
          </w:p>
        </w:tc>
        <w:tc>
          <w:tcPr>
            <w:tcW w:w="8602" w:type="dxa"/>
            <w:shd w:val="clear" w:color="auto" w:fill="auto"/>
            <w:vAlign w:val="center"/>
          </w:tcPr>
          <w:p>
            <w:pPr>
              <w:widowControl/>
              <w:rPr>
                <w:color w:val="000000"/>
                <w:kern w:val="0"/>
                <w:sz w:val="24"/>
                <w:szCs w:val="24"/>
              </w:rPr>
            </w:pPr>
            <w:r>
              <w:rPr>
                <w:color w:val="000000"/>
                <w:kern w:val="0"/>
                <w:sz w:val="24"/>
                <w:szCs w:val="24"/>
              </w:rPr>
              <w:t>（1）企业应当建立</w:t>
            </w:r>
            <w:r>
              <w:rPr>
                <w:rFonts w:hint="eastAsia"/>
                <w:color w:val="000000"/>
                <w:kern w:val="0"/>
                <w:sz w:val="24"/>
                <w:szCs w:val="24"/>
              </w:rPr>
              <w:t>原产地及相关自贸区政策</w:t>
            </w:r>
            <w:r>
              <w:rPr>
                <w:color w:val="000000"/>
                <w:kern w:val="0"/>
                <w:sz w:val="24"/>
                <w:szCs w:val="24"/>
              </w:rPr>
              <w:t>等内部培训制度。</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（2）法定代表人或其授权人员、负责</w:t>
            </w:r>
            <w:r>
              <w:rPr>
                <w:rFonts w:hint="eastAsia"/>
                <w:color w:val="000000"/>
                <w:kern w:val="0"/>
                <w:sz w:val="24"/>
                <w:szCs w:val="24"/>
              </w:rPr>
              <w:t>单证业务</w:t>
            </w:r>
            <w:r>
              <w:rPr>
                <w:color w:val="000000"/>
                <w:kern w:val="0"/>
                <w:sz w:val="24"/>
                <w:szCs w:val="24"/>
              </w:rPr>
              <w:t>的高级管理人员应当每年至少参加</w:t>
            </w:r>
            <w:r>
              <w:rPr>
                <w:rFonts w:hint="eastAsia"/>
                <w:color w:val="000000"/>
                <w:kern w:val="0"/>
                <w:sz w:val="24"/>
                <w:szCs w:val="24"/>
              </w:rPr>
              <w:t>1</w:t>
            </w:r>
            <w:r>
              <w:rPr>
                <w:color w:val="000000"/>
                <w:kern w:val="0"/>
                <w:sz w:val="24"/>
                <w:szCs w:val="24"/>
              </w:rPr>
              <w:t>次</w:t>
            </w:r>
            <w:r>
              <w:rPr>
                <w:rFonts w:hint="eastAsia"/>
                <w:color w:val="000000"/>
                <w:kern w:val="0"/>
                <w:sz w:val="24"/>
                <w:szCs w:val="24"/>
              </w:rPr>
              <w:t>贸促会组织的原产地业务、政策解读等</w:t>
            </w:r>
            <w:r>
              <w:rPr>
                <w:color w:val="000000"/>
                <w:kern w:val="0"/>
                <w:sz w:val="24"/>
                <w:szCs w:val="24"/>
              </w:rPr>
              <w:t>培训，及时了解、掌握相关管理规定。</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四</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原产地申报</w:t>
            </w:r>
            <w:r>
              <w:rPr>
                <w:color w:val="000000"/>
                <w:kern w:val="0"/>
                <w:sz w:val="24"/>
                <w:szCs w:val="24"/>
              </w:rPr>
              <w:t>业务控制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7</w:t>
            </w:r>
            <w:r>
              <w:rPr>
                <w:color w:val="000000"/>
                <w:kern w:val="0"/>
                <w:sz w:val="24"/>
                <w:szCs w:val="24"/>
              </w:rPr>
              <w:t>.单证控制</w:t>
            </w:r>
          </w:p>
        </w:tc>
        <w:tc>
          <w:tcPr>
            <w:tcW w:w="8602" w:type="dxa"/>
            <w:shd w:val="clear" w:color="auto" w:fill="auto"/>
            <w:vAlign w:val="center"/>
          </w:tcPr>
          <w:p>
            <w:pPr>
              <w:widowControl/>
              <w:rPr>
                <w:color w:val="000000"/>
                <w:kern w:val="0"/>
                <w:sz w:val="24"/>
                <w:szCs w:val="24"/>
              </w:rPr>
            </w:pPr>
            <w:r>
              <w:rPr>
                <w:rFonts w:hint="eastAsia"/>
                <w:color w:val="000000"/>
                <w:kern w:val="0"/>
                <w:sz w:val="24"/>
                <w:szCs w:val="24"/>
              </w:rPr>
              <w:t>（1）</w:t>
            </w:r>
            <w:r>
              <w:rPr>
                <w:color w:val="000000"/>
                <w:kern w:val="0"/>
                <w:sz w:val="24"/>
                <w:szCs w:val="24"/>
              </w:rPr>
              <w:t>具备进出口单证复核或者纠错制度或者程序。</w:t>
            </w:r>
          </w:p>
          <w:p>
            <w:pPr>
              <w:widowControl/>
              <w:rPr>
                <w:color w:val="000000"/>
                <w:kern w:val="0"/>
                <w:sz w:val="24"/>
                <w:szCs w:val="24"/>
              </w:rPr>
            </w:pPr>
            <w:r>
              <w:rPr>
                <w:color w:val="000000"/>
                <w:kern w:val="0"/>
                <w:sz w:val="24"/>
                <w:szCs w:val="24"/>
              </w:rPr>
              <w:t>在申报前或者委托申报前有专门部门或者岗位人员对</w:t>
            </w:r>
            <w:r>
              <w:rPr>
                <w:rFonts w:hint="eastAsia"/>
                <w:color w:val="000000"/>
                <w:kern w:val="0"/>
                <w:sz w:val="24"/>
                <w:szCs w:val="24"/>
              </w:rPr>
              <w:t>原产地</w:t>
            </w:r>
            <w:r>
              <w:rPr>
                <w:color w:val="000000"/>
                <w:kern w:val="0"/>
                <w:sz w:val="24"/>
                <w:szCs w:val="24"/>
              </w:rPr>
              <w:t>涉及的价格、</w:t>
            </w:r>
            <w:r>
              <w:rPr>
                <w:rFonts w:hint="eastAsia"/>
                <w:color w:val="000000"/>
                <w:kern w:val="0"/>
                <w:sz w:val="24"/>
                <w:szCs w:val="24"/>
              </w:rPr>
              <w:t>税则</w:t>
            </w:r>
            <w:r>
              <w:rPr>
                <w:color w:val="000000"/>
                <w:kern w:val="0"/>
                <w:sz w:val="24"/>
                <w:szCs w:val="24"/>
              </w:rPr>
              <w:t>归类、原产地、数量、品名、规格等内容的真实性、准确性和规范性进行内部复核。（</w:t>
            </w:r>
            <w:r>
              <w:rPr>
                <w:rFonts w:hint="eastAsia"/>
                <w:color w:val="000000"/>
                <w:kern w:val="0"/>
                <w:sz w:val="24"/>
                <w:szCs w:val="24"/>
              </w:rPr>
              <w:t>2</w:t>
            </w:r>
            <w:r>
              <w:rPr>
                <w:color w:val="000000"/>
                <w:kern w:val="0"/>
                <w:sz w:val="24"/>
                <w:szCs w:val="24"/>
              </w:rPr>
              <w:t>）员工离职程序：应</w:t>
            </w:r>
            <w:r>
              <w:rPr>
                <w:kern w:val="0"/>
                <w:sz w:val="24"/>
                <w:szCs w:val="24"/>
              </w:rPr>
              <w:t>有书面制度和程序，对离职或者停职员工及时收回工作证件、设备</w:t>
            </w:r>
            <w:r>
              <w:rPr>
                <w:rFonts w:hint="eastAsia"/>
                <w:kern w:val="0"/>
                <w:sz w:val="24"/>
                <w:szCs w:val="24"/>
              </w:rPr>
              <w:t>、账号</w:t>
            </w:r>
            <w:r>
              <w:rPr>
                <w:kern w:val="0"/>
                <w:sz w:val="24"/>
                <w:szCs w:val="24"/>
              </w:rPr>
              <w:t>，</w:t>
            </w:r>
            <w:r>
              <w:rPr>
                <w:rFonts w:hint="eastAsia"/>
                <w:kern w:val="0"/>
                <w:sz w:val="24"/>
                <w:szCs w:val="24"/>
              </w:rPr>
              <w:t>做好交接工作，</w:t>
            </w:r>
            <w:r>
              <w:rPr>
                <w:kern w:val="0"/>
                <w:sz w:val="24"/>
                <w:szCs w:val="24"/>
              </w:rPr>
              <w:t>并禁止其使用企业信息系统。</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8</w:t>
            </w:r>
            <w:r>
              <w:rPr>
                <w:color w:val="000000"/>
                <w:kern w:val="0"/>
                <w:sz w:val="24"/>
                <w:szCs w:val="24"/>
              </w:rPr>
              <w:t>.单证保管</w:t>
            </w:r>
          </w:p>
        </w:tc>
        <w:tc>
          <w:tcPr>
            <w:tcW w:w="8602" w:type="dxa"/>
            <w:shd w:val="clear" w:color="auto" w:fill="auto"/>
            <w:vAlign w:val="center"/>
          </w:tcPr>
          <w:p>
            <w:pPr>
              <w:widowControl/>
              <w:rPr>
                <w:color w:val="000000"/>
                <w:kern w:val="0"/>
                <w:sz w:val="24"/>
                <w:szCs w:val="24"/>
              </w:rPr>
            </w:pPr>
            <w:r>
              <w:rPr>
                <w:color w:val="000000"/>
                <w:kern w:val="0"/>
                <w:sz w:val="24"/>
                <w:szCs w:val="24"/>
              </w:rPr>
              <w:t>（1）按</w:t>
            </w:r>
            <w:r>
              <w:rPr>
                <w:rFonts w:hint="eastAsia"/>
                <w:color w:val="000000"/>
                <w:kern w:val="0"/>
                <w:sz w:val="24"/>
                <w:szCs w:val="24"/>
              </w:rPr>
              <w:t>贸促会</w:t>
            </w:r>
            <w:r>
              <w:rPr>
                <w:color w:val="000000"/>
                <w:kern w:val="0"/>
                <w:sz w:val="24"/>
                <w:szCs w:val="24"/>
              </w:rPr>
              <w:t>要求建立</w:t>
            </w:r>
            <w:r>
              <w:rPr>
                <w:rFonts w:hint="eastAsia"/>
                <w:color w:val="000000"/>
                <w:kern w:val="0"/>
                <w:sz w:val="24"/>
                <w:szCs w:val="24"/>
              </w:rPr>
              <w:t>原产地证书</w:t>
            </w:r>
            <w:r>
              <w:rPr>
                <w:color w:val="000000"/>
                <w:kern w:val="0"/>
                <w:sz w:val="24"/>
                <w:szCs w:val="24"/>
              </w:rPr>
              <w:t>管理制度，确保企业保存的</w:t>
            </w:r>
            <w:r>
              <w:rPr>
                <w:rFonts w:hint="eastAsia"/>
                <w:color w:val="000000"/>
                <w:kern w:val="0"/>
                <w:sz w:val="24"/>
                <w:szCs w:val="24"/>
              </w:rPr>
              <w:t>原产地</w:t>
            </w:r>
            <w:r>
              <w:rPr>
                <w:color w:val="000000"/>
                <w:kern w:val="0"/>
                <w:sz w:val="24"/>
                <w:szCs w:val="24"/>
              </w:rPr>
              <w:t>纸质和电子单证、</w:t>
            </w:r>
            <w:r>
              <w:rPr>
                <w:rFonts w:hint="eastAsia"/>
                <w:color w:val="000000"/>
                <w:kern w:val="0"/>
                <w:sz w:val="24"/>
                <w:szCs w:val="24"/>
              </w:rPr>
              <w:t>发票、</w:t>
            </w:r>
            <w:r>
              <w:rPr>
                <w:color w:val="000000"/>
                <w:kern w:val="0"/>
                <w:sz w:val="24"/>
                <w:szCs w:val="24"/>
              </w:rPr>
              <w:t>物流信息档案的及时性、完整性、准确性与安全性。</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vMerge w:val="restart"/>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（2）妥善保管</w:t>
            </w:r>
            <w:r>
              <w:rPr>
                <w:rFonts w:hint="eastAsia"/>
                <w:color w:val="000000"/>
                <w:kern w:val="0"/>
                <w:sz w:val="24"/>
                <w:szCs w:val="24"/>
              </w:rPr>
              <w:t>原产地业务专用</w:t>
            </w:r>
            <w:r>
              <w:rPr>
                <w:color w:val="000000"/>
                <w:kern w:val="0"/>
                <w:sz w:val="24"/>
                <w:szCs w:val="24"/>
              </w:rPr>
              <w:t>印章，</w:t>
            </w:r>
            <w:r>
              <w:rPr>
                <w:rFonts w:hint="eastAsia"/>
                <w:color w:val="000000"/>
                <w:kern w:val="0"/>
                <w:sz w:val="24"/>
                <w:szCs w:val="24"/>
              </w:rPr>
              <w:t>及时更新、备案手签员信息及签字样式</w:t>
            </w:r>
            <w:r>
              <w:rPr>
                <w:color w:val="000000"/>
                <w:kern w:val="0"/>
                <w:sz w:val="24"/>
                <w:szCs w:val="24"/>
              </w:rPr>
              <w:t>。</w:t>
            </w:r>
          </w:p>
        </w:tc>
        <w:tc>
          <w:tcPr>
            <w:tcW w:w="745" w:type="dxa"/>
            <w:vMerge w:val="continue"/>
            <w:vAlign w:val="center"/>
          </w:tcPr>
          <w:p/>
        </w:tc>
        <w:tc>
          <w:tcPr>
            <w:tcW w:w="1050" w:type="dxa"/>
            <w:vMerge w:val="continue"/>
            <w:vAlign w:val="center"/>
          </w:tcPr>
          <w:p/>
        </w:tc>
        <w:tc>
          <w:tcPr>
            <w:tcW w:w="947" w:type="dxa"/>
            <w:vMerge w:val="continue"/>
            <w:shd w:val="clear" w:color="auto" w:fill="auto"/>
            <w:vAlign w:val="center"/>
          </w:tcPr>
          <w:p/>
        </w:tc>
        <w:tc>
          <w:tcPr>
            <w:tcW w:w="941"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221" w:type="dxa"/>
            <w:vMerge w:val="restart"/>
            <w:tcBorders>
              <w:bottom w:val="single" w:color="auto" w:sz="4" w:space="0"/>
            </w:tcBorders>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五</w:t>
            </w:r>
            <w:r>
              <w:rPr>
                <w:color w:val="000000"/>
                <w:kern w:val="0"/>
                <w:sz w:val="24"/>
                <w:szCs w:val="24"/>
              </w:rPr>
              <w:t>）</w:t>
            </w:r>
          </w:p>
          <w:p>
            <w:pPr>
              <w:widowControl/>
              <w:jc w:val="center"/>
              <w:rPr>
                <w:color w:val="000000"/>
                <w:kern w:val="0"/>
                <w:sz w:val="24"/>
                <w:szCs w:val="24"/>
              </w:rPr>
            </w:pPr>
            <w:r>
              <w:rPr>
                <w:color w:val="000000"/>
                <w:kern w:val="0"/>
                <w:sz w:val="24"/>
                <w:szCs w:val="24"/>
              </w:rPr>
              <w:t>内部审计控制</w:t>
            </w:r>
          </w:p>
        </w:tc>
        <w:tc>
          <w:tcPr>
            <w:tcW w:w="1926" w:type="dxa"/>
            <w:tcBorders>
              <w:bottom w:val="single" w:color="auto" w:sz="4" w:space="0"/>
            </w:tcBorders>
            <w:shd w:val="clear" w:color="auto" w:fill="auto"/>
            <w:vAlign w:val="center"/>
          </w:tcPr>
          <w:p>
            <w:pPr>
              <w:jc w:val="left"/>
              <w:rPr>
                <w:color w:val="000000"/>
                <w:kern w:val="0"/>
                <w:sz w:val="24"/>
                <w:szCs w:val="24"/>
              </w:rPr>
            </w:pPr>
            <w:r>
              <w:rPr>
                <w:rFonts w:hint="eastAsia"/>
                <w:color w:val="000000"/>
                <w:kern w:val="0"/>
                <w:sz w:val="24"/>
                <w:szCs w:val="24"/>
              </w:rPr>
              <w:t>9</w:t>
            </w:r>
            <w:r>
              <w:rPr>
                <w:color w:val="000000"/>
                <w:kern w:val="0"/>
                <w:sz w:val="24"/>
                <w:szCs w:val="24"/>
              </w:rPr>
              <w:t>.责任追究</w:t>
            </w:r>
          </w:p>
        </w:tc>
        <w:tc>
          <w:tcPr>
            <w:tcW w:w="8602" w:type="dxa"/>
            <w:shd w:val="clear" w:color="auto" w:fill="auto"/>
            <w:vAlign w:val="center"/>
          </w:tcPr>
          <w:p>
            <w:pPr>
              <w:rPr>
                <w:kern w:val="0"/>
                <w:sz w:val="24"/>
                <w:szCs w:val="24"/>
              </w:rPr>
            </w:pPr>
            <w:r>
              <w:rPr>
                <w:color w:val="000000"/>
                <w:kern w:val="0"/>
                <w:sz w:val="24"/>
                <w:szCs w:val="24"/>
              </w:rPr>
              <w:t>建立对进出口业务发现的问题或者违法行为的责任追究制度或者措施。</w:t>
            </w:r>
          </w:p>
        </w:tc>
        <w:tc>
          <w:tcPr>
            <w:tcW w:w="745"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1050"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7" w:type="dxa"/>
            <w:tcBorders>
              <w:bottom w:val="single" w:color="auto" w:sz="4" w:space="0"/>
            </w:tcBorders>
            <w:shd w:val="clear" w:color="auto" w:fill="auto"/>
            <w:vAlign w:val="center"/>
          </w:tcPr>
          <w:p>
            <w:pPr>
              <w:jc w:val="center"/>
              <w:rPr>
                <w:color w:val="000000"/>
                <w:kern w:val="0"/>
                <w:sz w:val="24"/>
                <w:szCs w:val="24"/>
              </w:rPr>
            </w:pPr>
            <w:r>
              <w:rPr>
                <w:color w:val="000000"/>
                <w:kern w:val="0"/>
                <w:sz w:val="24"/>
                <w:szCs w:val="24"/>
              </w:rPr>
              <w:t>　</w:t>
            </w:r>
          </w:p>
        </w:tc>
        <w:tc>
          <w:tcPr>
            <w:tcW w:w="941" w:type="dxa"/>
            <w:tcBorders>
              <w:bottom w:val="single" w:color="auto" w:sz="4" w:space="0"/>
            </w:tcBorders>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21" w:type="dxa"/>
            <w:vMerge w:val="continue"/>
            <w:vAlign w:val="center"/>
          </w:tcP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10</w:t>
            </w:r>
            <w:r>
              <w:rPr>
                <w:color w:val="000000"/>
                <w:kern w:val="0"/>
                <w:sz w:val="24"/>
                <w:szCs w:val="24"/>
              </w:rPr>
              <w:t>.改进机制</w:t>
            </w:r>
          </w:p>
        </w:tc>
        <w:tc>
          <w:tcPr>
            <w:tcW w:w="8602" w:type="dxa"/>
            <w:shd w:val="clear" w:color="auto" w:fill="auto"/>
            <w:vAlign w:val="center"/>
          </w:tcPr>
          <w:p>
            <w:pPr>
              <w:widowControl/>
              <w:rPr>
                <w:color w:val="000000"/>
                <w:kern w:val="0"/>
                <w:sz w:val="24"/>
                <w:szCs w:val="24"/>
              </w:rPr>
            </w:pPr>
            <w:r>
              <w:rPr>
                <w:color w:val="000000"/>
                <w:kern w:val="0"/>
                <w:sz w:val="24"/>
                <w:szCs w:val="24"/>
              </w:rPr>
              <w:t>（1）建立改进制度或者措施。</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（2）对</w:t>
            </w:r>
            <w:r>
              <w:rPr>
                <w:rFonts w:hint="eastAsia"/>
                <w:color w:val="000000"/>
                <w:kern w:val="0"/>
                <w:sz w:val="24"/>
                <w:szCs w:val="24"/>
              </w:rPr>
              <w:t>贸促会</w:t>
            </w:r>
            <w:r>
              <w:rPr>
                <w:color w:val="000000"/>
                <w:kern w:val="0"/>
                <w:sz w:val="24"/>
                <w:szCs w:val="24"/>
              </w:rPr>
              <w:t>要求的</w:t>
            </w:r>
            <w:r>
              <w:rPr>
                <w:rFonts w:hint="eastAsia"/>
                <w:color w:val="000000"/>
                <w:kern w:val="0"/>
                <w:sz w:val="24"/>
                <w:szCs w:val="24"/>
              </w:rPr>
              <w:t>规范</w:t>
            </w:r>
            <w:r>
              <w:rPr>
                <w:color w:val="000000"/>
                <w:kern w:val="0"/>
                <w:sz w:val="24"/>
                <w:szCs w:val="24"/>
              </w:rPr>
              <w:t>改进事项，</w:t>
            </w:r>
            <w:r>
              <w:rPr>
                <w:rFonts w:hint="eastAsia"/>
                <w:color w:val="000000"/>
                <w:kern w:val="0"/>
                <w:sz w:val="24"/>
                <w:szCs w:val="24"/>
              </w:rPr>
              <w:t>应由</w:t>
            </w:r>
            <w:r>
              <w:rPr>
                <w:color w:val="000000"/>
                <w:kern w:val="0"/>
                <w:sz w:val="24"/>
                <w:szCs w:val="24"/>
              </w:rPr>
              <w:t>负责</w:t>
            </w:r>
            <w:r>
              <w:rPr>
                <w:rFonts w:hint="eastAsia"/>
                <w:color w:val="000000"/>
                <w:kern w:val="0"/>
                <w:sz w:val="24"/>
                <w:szCs w:val="24"/>
              </w:rPr>
              <w:t>单证业</w:t>
            </w:r>
            <w:r>
              <w:rPr>
                <w:color w:val="000000"/>
                <w:kern w:val="0"/>
                <w:sz w:val="24"/>
                <w:szCs w:val="24"/>
              </w:rPr>
              <w:t>务的高级管理人员直接负责具体的</w:t>
            </w:r>
            <w:r>
              <w:rPr>
                <w:rFonts w:hint="eastAsia"/>
                <w:color w:val="000000"/>
                <w:kern w:val="0"/>
                <w:sz w:val="24"/>
                <w:szCs w:val="24"/>
              </w:rPr>
              <w:t>规范</w:t>
            </w:r>
            <w:r>
              <w:rPr>
                <w:color w:val="000000"/>
                <w:kern w:val="0"/>
                <w:sz w:val="24"/>
                <w:szCs w:val="24"/>
              </w:rPr>
              <w:t>改进实施。</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1" w:type="dxa"/>
            <w:vMerge w:val="restart"/>
            <w:shd w:val="clear" w:color="auto" w:fill="auto"/>
            <w:vAlign w:val="center"/>
          </w:tcPr>
          <w:p>
            <w:pPr>
              <w:widowControl/>
              <w:jc w:val="center"/>
              <w:rPr>
                <w:kern w:val="0"/>
                <w:sz w:val="24"/>
                <w:szCs w:val="24"/>
              </w:rPr>
            </w:pPr>
            <w:r>
              <w:rPr>
                <w:kern w:val="0"/>
                <w:sz w:val="24"/>
                <w:szCs w:val="24"/>
              </w:rPr>
              <w:t>（</w:t>
            </w:r>
            <w:r>
              <w:rPr>
                <w:rFonts w:hint="eastAsia"/>
                <w:kern w:val="0"/>
                <w:sz w:val="24"/>
                <w:szCs w:val="24"/>
              </w:rPr>
              <w:t>六</w:t>
            </w:r>
            <w:r>
              <w:rPr>
                <w:kern w:val="0"/>
                <w:sz w:val="24"/>
                <w:szCs w:val="24"/>
              </w:rPr>
              <w:t>）</w:t>
            </w:r>
          </w:p>
          <w:p>
            <w:pPr>
              <w:widowControl/>
              <w:jc w:val="center"/>
              <w:rPr>
                <w:kern w:val="0"/>
                <w:sz w:val="24"/>
                <w:szCs w:val="24"/>
              </w:rPr>
            </w:pPr>
            <w:r>
              <w:rPr>
                <w:kern w:val="0"/>
                <w:sz w:val="24"/>
                <w:szCs w:val="24"/>
              </w:rPr>
              <w:t>信息系统控制</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11</w:t>
            </w:r>
            <w:r>
              <w:rPr>
                <w:color w:val="000000"/>
                <w:kern w:val="0"/>
                <w:sz w:val="24"/>
                <w:szCs w:val="24"/>
              </w:rPr>
              <w:t>.信息安全</w:t>
            </w:r>
          </w:p>
        </w:tc>
        <w:tc>
          <w:tcPr>
            <w:tcW w:w="8602" w:type="dxa"/>
            <w:shd w:val="clear" w:color="auto" w:fill="auto"/>
            <w:vAlign w:val="center"/>
          </w:tcPr>
          <w:p>
            <w:pPr>
              <w:widowControl/>
              <w:rPr>
                <w:color w:val="000000"/>
                <w:kern w:val="0"/>
                <w:sz w:val="24"/>
                <w:szCs w:val="24"/>
              </w:rPr>
            </w:pPr>
            <w:r>
              <w:rPr>
                <w:color w:val="000000"/>
                <w:kern w:val="0"/>
                <w:sz w:val="24"/>
                <w:szCs w:val="24"/>
              </w:rPr>
              <w:t>（1）建立信息安全管理制度，保护信息系统安全，并对员工进行相关培训。</w:t>
            </w:r>
          </w:p>
        </w:tc>
        <w:tc>
          <w:tcPr>
            <w:tcW w:w="745"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left"/>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left"/>
              <w:rPr>
                <w:color w:val="000000"/>
                <w:kern w:val="0"/>
                <w:sz w:val="24"/>
                <w:szCs w:val="24"/>
              </w:rPr>
            </w:pPr>
          </w:p>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221" w:type="dxa"/>
            <w:vMerge w:val="continue"/>
            <w:shd w:val="clear" w:color="auto" w:fill="auto"/>
            <w:vAlign w:val="center"/>
          </w:tcPr>
          <w:p/>
        </w:tc>
        <w:tc>
          <w:tcPr>
            <w:tcW w:w="1926" w:type="dxa"/>
            <w:vMerge w:val="continue"/>
            <w:shd w:val="clear" w:color="auto" w:fill="auto"/>
            <w:vAlign w:val="center"/>
          </w:tcPr>
          <w:p/>
        </w:tc>
        <w:tc>
          <w:tcPr>
            <w:tcW w:w="8602" w:type="dxa"/>
            <w:shd w:val="clear" w:color="auto" w:fill="auto"/>
            <w:vAlign w:val="center"/>
          </w:tcPr>
          <w:p>
            <w:pPr>
              <w:widowControl/>
              <w:rPr>
                <w:color w:val="000000"/>
                <w:kern w:val="0"/>
                <w:sz w:val="24"/>
                <w:szCs w:val="24"/>
              </w:rPr>
            </w:pPr>
            <w:r>
              <w:rPr>
                <w:color w:val="000000"/>
                <w:kern w:val="0"/>
                <w:sz w:val="24"/>
                <w:szCs w:val="24"/>
              </w:rPr>
              <w:t>（2）有专门程序或者制度，识别信息系统的非正常使用，包括非法入侵信息系统，篡改或者更改业务数据，并对上述行为有严格的责任追究。信息系统</w:t>
            </w:r>
            <w:r>
              <w:rPr>
                <w:rFonts w:hint="eastAsia"/>
                <w:color w:val="000000"/>
                <w:kern w:val="0"/>
                <w:sz w:val="24"/>
                <w:szCs w:val="24"/>
              </w:rPr>
              <w:t>要</w:t>
            </w:r>
            <w:r>
              <w:rPr>
                <w:color w:val="000000"/>
                <w:kern w:val="0"/>
                <w:sz w:val="24"/>
                <w:szCs w:val="24"/>
              </w:rPr>
              <w:t>使用专人账户和密码，并且定期更改用户密码。</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21" w:type="dxa"/>
            <w:vMerge w:val="continue"/>
            <w:vAlign w:val="center"/>
          </w:tcPr>
          <w:p/>
        </w:tc>
        <w:tc>
          <w:tcPr>
            <w:tcW w:w="1926" w:type="dxa"/>
            <w:vMerge w:val="continue"/>
            <w:shd w:val="clear" w:color="auto" w:fill="auto"/>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（3）有专门程序或者制度，保护系统和数据，有数据恢复、备份等手段防止信息丢失，应用反病毒软件和防火墙技术。</w:t>
            </w:r>
          </w:p>
        </w:tc>
        <w:tc>
          <w:tcPr>
            <w:tcW w:w="745" w:type="dxa"/>
            <w:shd w:val="clear" w:color="auto" w:fill="auto"/>
            <w:vAlign w:val="center"/>
          </w:tcPr>
          <w:p/>
        </w:tc>
        <w:tc>
          <w:tcPr>
            <w:tcW w:w="1050" w:type="dxa"/>
            <w:shd w:val="clear" w:color="auto" w:fill="auto"/>
            <w:vAlign w:val="center"/>
          </w:tcPr>
          <w:p/>
        </w:tc>
        <w:tc>
          <w:tcPr>
            <w:tcW w:w="947" w:type="dxa"/>
            <w:shd w:val="clear" w:color="auto" w:fill="auto"/>
            <w:vAlign w:val="center"/>
          </w:tcPr>
          <w:p/>
        </w:tc>
        <w:tc>
          <w:tcPr>
            <w:tcW w:w="941"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749" w:type="dxa"/>
            <w:gridSpan w:val="3"/>
            <w:vAlign w:val="center"/>
          </w:tcPr>
          <w:p>
            <w:pPr>
              <w:widowControl/>
              <w:jc w:val="left"/>
              <w:rPr>
                <w:b/>
                <w:kern w:val="0"/>
                <w:sz w:val="24"/>
                <w:szCs w:val="24"/>
              </w:rPr>
            </w:pPr>
            <w:r>
              <w:rPr>
                <w:b/>
                <w:bCs/>
                <w:kern w:val="0"/>
                <w:sz w:val="24"/>
                <w:szCs w:val="24"/>
              </w:rPr>
              <w:t>四、</w:t>
            </w:r>
            <w:r>
              <w:rPr>
                <w:rFonts w:hint="eastAsia"/>
                <w:b/>
                <w:bCs/>
                <w:kern w:val="0"/>
                <w:sz w:val="24"/>
                <w:szCs w:val="24"/>
              </w:rPr>
              <w:t>自主打印必备条件</w:t>
            </w:r>
          </w:p>
        </w:tc>
        <w:tc>
          <w:tcPr>
            <w:tcW w:w="745" w:type="dxa"/>
            <w:shd w:val="clear" w:color="auto" w:fill="auto"/>
            <w:vAlign w:val="center"/>
          </w:tcPr>
          <w:p>
            <w:pPr>
              <w:widowControl/>
              <w:jc w:val="center"/>
              <w:rPr>
                <w:b/>
                <w:kern w:val="0"/>
                <w:sz w:val="24"/>
                <w:szCs w:val="24"/>
              </w:rPr>
            </w:pPr>
            <w:r>
              <w:rPr>
                <w:b/>
                <w:kern w:val="0"/>
                <w:sz w:val="24"/>
                <w:szCs w:val="24"/>
              </w:rPr>
              <w:t>达标0</w:t>
            </w:r>
          </w:p>
        </w:tc>
        <w:tc>
          <w:tcPr>
            <w:tcW w:w="1050" w:type="dxa"/>
            <w:shd w:val="clear" w:color="auto" w:fill="auto"/>
            <w:vAlign w:val="center"/>
          </w:tcPr>
          <w:p>
            <w:pPr>
              <w:widowControl/>
              <w:ind w:left="-10" w:right="-105" w:hanging="104"/>
              <w:jc w:val="center"/>
              <w:rPr>
                <w:b/>
                <w:kern w:val="0"/>
                <w:sz w:val="24"/>
                <w:szCs w:val="24"/>
              </w:rPr>
            </w:pPr>
            <w:r>
              <w:rPr>
                <w:b/>
                <w:kern w:val="0"/>
                <w:sz w:val="24"/>
                <w:szCs w:val="24"/>
              </w:rPr>
              <w:t>部分达标</w:t>
            </w:r>
          </w:p>
          <w:p>
            <w:pPr>
              <w:widowControl/>
              <w:ind w:left="-115"/>
              <w:jc w:val="center"/>
              <w:rPr>
                <w:b/>
                <w:kern w:val="0"/>
                <w:sz w:val="24"/>
                <w:szCs w:val="24"/>
              </w:rPr>
            </w:pPr>
            <w:r>
              <w:rPr>
                <w:b/>
                <w:kern w:val="0"/>
                <w:sz w:val="24"/>
                <w:szCs w:val="24"/>
              </w:rPr>
              <w:t>-1</w:t>
            </w:r>
          </w:p>
        </w:tc>
        <w:tc>
          <w:tcPr>
            <w:tcW w:w="947" w:type="dxa"/>
            <w:shd w:val="clear" w:color="auto" w:fill="auto"/>
            <w:vAlign w:val="center"/>
          </w:tcPr>
          <w:p>
            <w:pPr>
              <w:widowControl/>
              <w:jc w:val="center"/>
              <w:rPr>
                <w:b/>
                <w:kern w:val="0"/>
                <w:sz w:val="24"/>
                <w:szCs w:val="24"/>
              </w:rPr>
            </w:pPr>
            <w:r>
              <w:rPr>
                <w:b/>
                <w:kern w:val="0"/>
                <w:sz w:val="24"/>
                <w:szCs w:val="24"/>
              </w:rPr>
              <w:t>不达标</w:t>
            </w:r>
          </w:p>
          <w:p>
            <w:pPr>
              <w:widowControl/>
              <w:jc w:val="center"/>
              <w:rPr>
                <w:b/>
                <w:kern w:val="0"/>
                <w:sz w:val="24"/>
                <w:szCs w:val="24"/>
              </w:rPr>
            </w:pPr>
            <w:r>
              <w:rPr>
                <w:b/>
                <w:kern w:val="0"/>
                <w:sz w:val="24"/>
                <w:szCs w:val="24"/>
              </w:rPr>
              <w:t>-2</w:t>
            </w:r>
          </w:p>
        </w:tc>
        <w:tc>
          <w:tcPr>
            <w:tcW w:w="941" w:type="dxa"/>
            <w:shd w:val="clear" w:color="auto" w:fill="auto"/>
            <w:vAlign w:val="center"/>
          </w:tcPr>
          <w:p>
            <w:pPr>
              <w:widowControl/>
              <w:jc w:val="left"/>
              <w:rPr>
                <w:b/>
                <w:kern w:val="0"/>
                <w:sz w:val="24"/>
                <w:szCs w:val="24"/>
              </w:rPr>
            </w:pPr>
            <w:r>
              <w:rPr>
                <w:b/>
                <w:kern w:val="0"/>
                <w:sz w:val="24"/>
                <w:szCs w:val="24"/>
              </w:rPr>
              <w:t>不适用</w:t>
            </w:r>
          </w:p>
          <w:p>
            <w:pPr>
              <w:widowControl/>
              <w:jc w:val="center"/>
              <w:rPr>
                <w:b/>
                <w:kern w:val="0"/>
                <w:sz w:val="24"/>
                <w:szCs w:val="24"/>
              </w:rPr>
            </w:pPr>
            <w:r>
              <w:rPr>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restart"/>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七</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硬件设备</w:t>
            </w:r>
          </w:p>
        </w:tc>
        <w:tc>
          <w:tcPr>
            <w:tcW w:w="1926" w:type="dxa"/>
            <w:vMerge w:val="restart"/>
            <w:shd w:val="clear" w:color="auto" w:fill="auto"/>
            <w:vAlign w:val="center"/>
          </w:tcPr>
          <w:p>
            <w:pPr>
              <w:widowControl/>
              <w:jc w:val="left"/>
              <w:rPr>
                <w:color w:val="000000"/>
                <w:kern w:val="0"/>
                <w:sz w:val="24"/>
                <w:szCs w:val="24"/>
              </w:rPr>
            </w:pPr>
            <w:r>
              <w:rPr>
                <w:rFonts w:hint="eastAsia"/>
                <w:color w:val="000000"/>
                <w:kern w:val="0"/>
                <w:sz w:val="24"/>
                <w:szCs w:val="24"/>
              </w:rPr>
              <w:t>12</w:t>
            </w:r>
            <w:r>
              <w:rPr>
                <w:color w:val="000000"/>
                <w:kern w:val="0"/>
                <w:sz w:val="24"/>
                <w:szCs w:val="24"/>
              </w:rPr>
              <w:t>.</w:t>
            </w:r>
            <w:r>
              <w:rPr>
                <w:rFonts w:hint="eastAsia"/>
                <w:color w:val="000000"/>
                <w:kern w:val="0"/>
                <w:sz w:val="24"/>
                <w:szCs w:val="24"/>
              </w:rPr>
              <w:t>打印装置</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（1）符合型号要求的打印机（参照中国贸促会商事认证中心发布清单）</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（2）硒鼓质量（参照中国贸促会商事认证中心发布要求）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vMerge w:val="continue"/>
            <w:shd w:val="clear" w:color="auto" w:fill="auto"/>
            <w:vAlign w:val="center"/>
          </w:tcPr>
          <w:p>
            <w:pPr>
              <w:widowControl/>
              <w:jc w:val="center"/>
              <w:rPr>
                <w:color w:val="000000"/>
                <w:kern w:val="0"/>
                <w:sz w:val="24"/>
                <w:szCs w:val="24"/>
              </w:rPr>
            </w:pPr>
          </w:p>
        </w:tc>
        <w:tc>
          <w:tcPr>
            <w:tcW w:w="1926" w:type="dxa"/>
            <w:vMerge w:val="continue"/>
            <w:shd w:val="clear" w:color="auto" w:fill="auto"/>
            <w:vAlign w:val="center"/>
          </w:tcPr>
          <w:p>
            <w:pPr>
              <w:widowControl/>
              <w:jc w:val="left"/>
              <w:rPr>
                <w:color w:val="000000"/>
                <w:kern w:val="0"/>
                <w:sz w:val="24"/>
                <w:szCs w:val="24"/>
              </w:rPr>
            </w:pP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（3）纸张管理（参照中国贸促会商事认证中心发布要求）</w:t>
            </w:r>
          </w:p>
        </w:tc>
        <w:tc>
          <w:tcPr>
            <w:tcW w:w="745" w:type="dxa"/>
            <w:shd w:val="clear" w:color="auto" w:fill="auto"/>
            <w:vAlign w:val="center"/>
          </w:tcPr>
          <w:p>
            <w:pPr>
              <w:widowControl/>
              <w:jc w:val="center"/>
              <w:rPr>
                <w:color w:val="000000"/>
                <w:kern w:val="0"/>
                <w:sz w:val="24"/>
                <w:szCs w:val="24"/>
              </w:rPr>
            </w:pPr>
          </w:p>
        </w:tc>
        <w:tc>
          <w:tcPr>
            <w:tcW w:w="1050" w:type="dxa"/>
            <w:shd w:val="clear" w:color="auto" w:fill="auto"/>
            <w:vAlign w:val="center"/>
          </w:tcPr>
          <w:p>
            <w:pPr>
              <w:widowControl/>
              <w:jc w:val="center"/>
              <w:rPr>
                <w:color w:val="000000"/>
                <w:kern w:val="0"/>
                <w:sz w:val="24"/>
                <w:szCs w:val="24"/>
              </w:rPr>
            </w:pPr>
          </w:p>
        </w:tc>
        <w:tc>
          <w:tcPr>
            <w:tcW w:w="947" w:type="dxa"/>
            <w:shd w:val="clear" w:color="auto" w:fill="auto"/>
            <w:vAlign w:val="center"/>
          </w:tcPr>
          <w:p>
            <w:pPr>
              <w:widowControl/>
              <w:jc w:val="center"/>
              <w:rPr>
                <w:color w:val="000000"/>
                <w:kern w:val="0"/>
                <w:sz w:val="24"/>
                <w:szCs w:val="24"/>
              </w:rPr>
            </w:pP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21" w:type="dxa"/>
            <w:shd w:val="clear" w:color="auto" w:fill="auto"/>
            <w:vAlign w:val="center"/>
          </w:tcPr>
          <w:p>
            <w:pPr>
              <w:widowControl/>
              <w:jc w:val="center"/>
              <w:rPr>
                <w:color w:val="000000"/>
                <w:kern w:val="0"/>
                <w:sz w:val="24"/>
                <w:szCs w:val="24"/>
              </w:rPr>
            </w:pPr>
            <w:r>
              <w:rPr>
                <w:color w:val="000000"/>
                <w:kern w:val="0"/>
                <w:sz w:val="24"/>
                <w:szCs w:val="24"/>
              </w:rPr>
              <w:t>（</w:t>
            </w:r>
            <w:r>
              <w:rPr>
                <w:rFonts w:hint="eastAsia"/>
                <w:color w:val="000000"/>
                <w:kern w:val="0"/>
                <w:sz w:val="24"/>
                <w:szCs w:val="24"/>
              </w:rPr>
              <w:t>八</w:t>
            </w:r>
            <w:r>
              <w:rPr>
                <w:color w:val="000000"/>
                <w:kern w:val="0"/>
                <w:sz w:val="24"/>
                <w:szCs w:val="24"/>
              </w:rPr>
              <w:t>）</w:t>
            </w:r>
          </w:p>
          <w:p>
            <w:pPr>
              <w:widowControl/>
              <w:jc w:val="center"/>
              <w:rPr>
                <w:color w:val="000000"/>
                <w:kern w:val="0"/>
                <w:sz w:val="24"/>
                <w:szCs w:val="24"/>
              </w:rPr>
            </w:pPr>
            <w:r>
              <w:rPr>
                <w:rFonts w:hint="eastAsia"/>
                <w:color w:val="000000"/>
                <w:kern w:val="0"/>
                <w:sz w:val="24"/>
                <w:szCs w:val="24"/>
              </w:rPr>
              <w:t>软件</w:t>
            </w:r>
          </w:p>
        </w:tc>
        <w:tc>
          <w:tcPr>
            <w:tcW w:w="1926" w:type="dxa"/>
            <w:shd w:val="clear" w:color="auto" w:fill="auto"/>
            <w:vAlign w:val="center"/>
          </w:tcPr>
          <w:p>
            <w:pPr>
              <w:widowControl/>
              <w:jc w:val="left"/>
              <w:rPr>
                <w:color w:val="000000"/>
                <w:kern w:val="0"/>
                <w:sz w:val="24"/>
                <w:szCs w:val="24"/>
              </w:rPr>
            </w:pPr>
            <w:r>
              <w:rPr>
                <w:rFonts w:hint="eastAsia"/>
                <w:color w:val="000000"/>
                <w:kern w:val="0"/>
                <w:sz w:val="24"/>
                <w:szCs w:val="24"/>
              </w:rPr>
              <w:t>13.软件</w:t>
            </w:r>
          </w:p>
        </w:tc>
        <w:tc>
          <w:tcPr>
            <w:tcW w:w="8602" w:type="dxa"/>
            <w:shd w:val="clear" w:color="auto" w:fill="auto"/>
            <w:vAlign w:val="center"/>
          </w:tcPr>
          <w:p>
            <w:pPr>
              <w:widowControl/>
              <w:jc w:val="left"/>
              <w:rPr>
                <w:color w:val="000000"/>
                <w:kern w:val="0"/>
                <w:sz w:val="24"/>
                <w:szCs w:val="24"/>
              </w:rPr>
            </w:pPr>
            <w:r>
              <w:rPr>
                <w:rFonts w:hint="eastAsia"/>
                <w:color w:val="000000"/>
                <w:kern w:val="0"/>
                <w:sz w:val="24"/>
                <w:szCs w:val="24"/>
              </w:rPr>
              <w:t>相关系统及组件安装到位</w:t>
            </w:r>
          </w:p>
        </w:tc>
        <w:tc>
          <w:tcPr>
            <w:tcW w:w="745" w:type="dxa"/>
            <w:shd w:val="clear" w:color="auto" w:fill="auto"/>
            <w:vAlign w:val="center"/>
          </w:tcPr>
          <w:p>
            <w:pPr>
              <w:widowControl/>
              <w:jc w:val="center"/>
              <w:rPr>
                <w:color w:val="000000"/>
                <w:kern w:val="0"/>
                <w:sz w:val="24"/>
                <w:szCs w:val="24"/>
              </w:rPr>
            </w:pPr>
            <w:r>
              <w:rPr>
                <w:color w:val="000000"/>
                <w:kern w:val="0"/>
                <w:sz w:val="24"/>
                <w:szCs w:val="24"/>
              </w:rPr>
              <w:t>　</w:t>
            </w:r>
          </w:p>
        </w:tc>
        <w:tc>
          <w:tcPr>
            <w:tcW w:w="1050" w:type="dxa"/>
            <w:shd w:val="clear" w:color="auto" w:fill="auto"/>
            <w:vAlign w:val="center"/>
          </w:tcPr>
          <w:p>
            <w:pPr>
              <w:widowControl/>
              <w:jc w:val="center"/>
              <w:rPr>
                <w:color w:val="000000"/>
                <w:kern w:val="0"/>
                <w:sz w:val="24"/>
                <w:szCs w:val="24"/>
              </w:rPr>
            </w:pPr>
            <w:r>
              <w:rPr>
                <w:color w:val="000000"/>
                <w:kern w:val="0"/>
                <w:sz w:val="24"/>
                <w:szCs w:val="24"/>
              </w:rPr>
              <w:t>　</w:t>
            </w:r>
          </w:p>
        </w:tc>
        <w:tc>
          <w:tcPr>
            <w:tcW w:w="947" w:type="dxa"/>
            <w:shd w:val="clear" w:color="auto" w:fill="auto"/>
            <w:vAlign w:val="center"/>
          </w:tcPr>
          <w:p>
            <w:pPr>
              <w:widowControl/>
              <w:jc w:val="center"/>
              <w:rPr>
                <w:color w:val="000000"/>
                <w:kern w:val="0"/>
                <w:sz w:val="24"/>
                <w:szCs w:val="24"/>
              </w:rPr>
            </w:pPr>
            <w:r>
              <w:rPr>
                <w:color w:val="000000"/>
                <w:kern w:val="0"/>
                <w:sz w:val="24"/>
                <w:szCs w:val="24"/>
              </w:rPr>
              <w:t>　</w:t>
            </w:r>
          </w:p>
        </w:tc>
        <w:tc>
          <w:tcPr>
            <w:tcW w:w="941" w:type="dxa"/>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49" w:type="dxa"/>
            <w:gridSpan w:val="3"/>
            <w:shd w:val="clear" w:color="auto" w:fill="auto"/>
            <w:vAlign w:val="center"/>
          </w:tcPr>
          <w:p>
            <w:pPr>
              <w:widowControl/>
              <w:jc w:val="left"/>
              <w:rPr>
                <w:b/>
                <w:kern w:val="0"/>
                <w:sz w:val="24"/>
                <w:szCs w:val="24"/>
              </w:rPr>
            </w:pPr>
            <w:r>
              <w:rPr>
                <w:b/>
                <w:bCs/>
                <w:kern w:val="0"/>
                <w:sz w:val="24"/>
                <w:szCs w:val="24"/>
              </w:rPr>
              <w:t>五、附加标准</w:t>
            </w:r>
            <w:r>
              <w:rPr>
                <w:rFonts w:hint="eastAsia"/>
                <w:b/>
                <w:bCs/>
                <w:kern w:val="0"/>
                <w:sz w:val="24"/>
                <w:szCs w:val="24"/>
              </w:rPr>
              <w:t>（此项最高分2分，不重复记分）</w:t>
            </w:r>
          </w:p>
        </w:tc>
        <w:tc>
          <w:tcPr>
            <w:tcW w:w="745" w:type="dxa"/>
            <w:shd w:val="clear" w:color="auto" w:fill="auto"/>
            <w:vAlign w:val="center"/>
          </w:tcPr>
          <w:p>
            <w:pPr>
              <w:widowControl/>
              <w:jc w:val="center"/>
              <w:rPr>
                <w:b/>
                <w:kern w:val="0"/>
                <w:sz w:val="24"/>
                <w:szCs w:val="24"/>
              </w:rPr>
            </w:pPr>
            <w:r>
              <w:rPr>
                <w:b/>
                <w:kern w:val="0"/>
                <w:sz w:val="24"/>
                <w:szCs w:val="24"/>
              </w:rPr>
              <w:t>符合</w:t>
            </w:r>
          </w:p>
          <w:p>
            <w:pPr>
              <w:widowControl/>
              <w:jc w:val="center"/>
              <w:rPr>
                <w:b/>
                <w:kern w:val="0"/>
                <w:sz w:val="24"/>
                <w:szCs w:val="24"/>
              </w:rPr>
            </w:pPr>
            <w:r>
              <w:rPr>
                <w:b/>
                <w:kern w:val="0"/>
                <w:sz w:val="24"/>
                <w:szCs w:val="24"/>
              </w:rPr>
              <w:t>2</w:t>
            </w:r>
          </w:p>
        </w:tc>
        <w:tc>
          <w:tcPr>
            <w:tcW w:w="2938" w:type="dxa"/>
            <w:gridSpan w:val="3"/>
            <w:shd w:val="clear" w:color="auto" w:fill="auto"/>
            <w:vAlign w:val="center"/>
          </w:tcPr>
          <w:p>
            <w:pPr>
              <w:widowControl/>
              <w:jc w:val="center"/>
              <w:rPr>
                <w:b/>
                <w:kern w:val="0"/>
                <w:sz w:val="24"/>
                <w:szCs w:val="24"/>
              </w:rPr>
            </w:pPr>
            <w:r>
              <w:rPr>
                <w:b/>
                <w:kern w:val="0"/>
                <w:sz w:val="24"/>
                <w:szCs w:val="24"/>
              </w:rPr>
              <w:t>不适用</w:t>
            </w:r>
          </w:p>
          <w:p>
            <w:pPr>
              <w:widowControl/>
              <w:jc w:val="center"/>
              <w:rPr>
                <w:b/>
                <w:kern w:val="0"/>
                <w:sz w:val="24"/>
                <w:szCs w:val="24"/>
              </w:rPr>
            </w:pPr>
            <w:r>
              <w:rPr>
                <w:b/>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21" w:type="dxa"/>
            <w:vMerge w:val="restart"/>
            <w:shd w:val="clear" w:color="auto" w:fill="auto"/>
            <w:vAlign w:val="center"/>
          </w:tcPr>
          <w:p>
            <w:pPr>
              <w:widowControl/>
              <w:jc w:val="center"/>
              <w:rPr>
                <w:color w:val="000000"/>
                <w:kern w:val="0"/>
                <w:sz w:val="24"/>
                <w:szCs w:val="24"/>
              </w:rPr>
            </w:pPr>
          </w:p>
          <w:p>
            <w:pPr>
              <w:widowControl/>
              <w:jc w:val="center"/>
              <w:rPr>
                <w:color w:val="000000"/>
                <w:kern w:val="0"/>
                <w:sz w:val="24"/>
                <w:szCs w:val="24"/>
              </w:rPr>
            </w:pPr>
            <w:r>
              <w:rPr>
                <w:color w:val="000000"/>
                <w:kern w:val="0"/>
                <w:sz w:val="24"/>
                <w:szCs w:val="24"/>
              </w:rPr>
              <w:t>（</w:t>
            </w:r>
            <w:r>
              <w:rPr>
                <w:rFonts w:hint="eastAsia"/>
                <w:color w:val="000000"/>
                <w:kern w:val="0"/>
                <w:sz w:val="24"/>
                <w:szCs w:val="24"/>
              </w:rPr>
              <w:t>九</w:t>
            </w:r>
            <w:r>
              <w:rPr>
                <w:color w:val="000000"/>
                <w:kern w:val="0"/>
                <w:sz w:val="24"/>
                <w:szCs w:val="24"/>
              </w:rPr>
              <w:t>）</w:t>
            </w:r>
          </w:p>
          <w:p>
            <w:pPr>
              <w:widowControl/>
              <w:jc w:val="center"/>
              <w:rPr>
                <w:color w:val="000000"/>
                <w:kern w:val="0"/>
                <w:sz w:val="24"/>
                <w:szCs w:val="24"/>
              </w:rPr>
            </w:pPr>
            <w:r>
              <w:rPr>
                <w:color w:val="000000"/>
                <w:kern w:val="0"/>
                <w:sz w:val="24"/>
                <w:szCs w:val="24"/>
              </w:rPr>
              <w:t>加分标准</w:t>
            </w:r>
          </w:p>
        </w:tc>
        <w:tc>
          <w:tcPr>
            <w:tcW w:w="1926" w:type="dxa"/>
            <w:vMerge w:val="restart"/>
            <w:shd w:val="clear" w:color="auto" w:fill="auto"/>
            <w:vAlign w:val="center"/>
          </w:tcPr>
          <w:p>
            <w:pPr>
              <w:widowControl/>
              <w:jc w:val="left"/>
              <w:rPr>
                <w:color w:val="000000"/>
                <w:kern w:val="0"/>
                <w:sz w:val="24"/>
                <w:szCs w:val="24"/>
              </w:rPr>
            </w:pPr>
          </w:p>
          <w:p>
            <w:pPr>
              <w:widowControl/>
              <w:jc w:val="left"/>
              <w:rPr>
                <w:color w:val="000000"/>
                <w:kern w:val="0"/>
                <w:sz w:val="24"/>
                <w:szCs w:val="24"/>
              </w:rPr>
            </w:pPr>
            <w:r>
              <w:rPr>
                <w:rFonts w:hint="eastAsia"/>
                <w:color w:val="000000"/>
                <w:kern w:val="0"/>
                <w:sz w:val="24"/>
                <w:szCs w:val="24"/>
              </w:rPr>
              <w:t>14</w:t>
            </w:r>
            <w:r>
              <w:rPr>
                <w:color w:val="000000"/>
                <w:kern w:val="0"/>
                <w:sz w:val="24"/>
                <w:szCs w:val="24"/>
              </w:rPr>
              <w:t>.加分项目</w:t>
            </w:r>
          </w:p>
        </w:tc>
        <w:tc>
          <w:tcPr>
            <w:tcW w:w="8602" w:type="dxa"/>
            <w:shd w:val="clear" w:color="auto" w:fill="auto"/>
            <w:vAlign w:val="center"/>
          </w:tcPr>
          <w:p>
            <w:pPr>
              <w:widowControl/>
              <w:jc w:val="left"/>
              <w:rPr>
                <w:color w:val="000000"/>
                <w:kern w:val="0"/>
                <w:sz w:val="24"/>
                <w:szCs w:val="24"/>
              </w:rPr>
            </w:pPr>
            <w:r>
              <w:rPr>
                <w:color w:val="000000"/>
                <w:kern w:val="0"/>
                <w:sz w:val="24"/>
                <w:szCs w:val="24"/>
              </w:rPr>
              <w:t>有下列情形之一的，经</w:t>
            </w:r>
            <w:r>
              <w:rPr>
                <w:rFonts w:hint="eastAsia"/>
                <w:color w:val="000000"/>
                <w:kern w:val="0"/>
                <w:sz w:val="24"/>
                <w:szCs w:val="24"/>
              </w:rPr>
              <w:t>贸促会</w:t>
            </w:r>
            <w:r>
              <w:rPr>
                <w:color w:val="000000"/>
                <w:kern w:val="0"/>
                <w:sz w:val="24"/>
                <w:szCs w:val="24"/>
              </w:rPr>
              <w:t>确认后可以加分：</w:t>
            </w:r>
          </w:p>
        </w:tc>
        <w:tc>
          <w:tcPr>
            <w:tcW w:w="745" w:type="dxa"/>
            <w:vMerge w:val="restart"/>
            <w:shd w:val="clear" w:color="auto" w:fill="auto"/>
            <w:vAlign w:val="center"/>
          </w:tcPr>
          <w:p>
            <w:pPr>
              <w:widowControl/>
              <w:jc w:val="center"/>
              <w:rPr>
                <w:color w:val="000000"/>
                <w:kern w:val="0"/>
                <w:sz w:val="24"/>
                <w:szCs w:val="24"/>
              </w:rPr>
            </w:pPr>
            <w:r>
              <w:rPr>
                <w:color w:val="000000"/>
                <w:kern w:val="0"/>
                <w:sz w:val="24"/>
                <w:szCs w:val="24"/>
              </w:rPr>
              <w:t>　</w:t>
            </w:r>
          </w:p>
          <w:p>
            <w:pPr>
              <w:widowControl/>
              <w:jc w:val="center"/>
              <w:rPr>
                <w:color w:val="000000"/>
                <w:kern w:val="0"/>
                <w:sz w:val="24"/>
                <w:szCs w:val="24"/>
              </w:rPr>
            </w:pPr>
            <w:r>
              <w:rPr>
                <w:color w:val="000000"/>
                <w:kern w:val="0"/>
                <w:sz w:val="24"/>
                <w:szCs w:val="24"/>
              </w:rPr>
              <w:t>　</w:t>
            </w:r>
          </w:p>
        </w:tc>
        <w:tc>
          <w:tcPr>
            <w:tcW w:w="2938" w:type="dxa"/>
            <w:gridSpan w:val="3"/>
            <w:vMerge w:val="restart"/>
            <w:shd w:val="clear" w:color="auto" w:fill="auto"/>
            <w:vAlign w:val="center"/>
          </w:tcPr>
          <w:p>
            <w:pPr>
              <w:widowControl/>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1221" w:type="dxa"/>
            <w:vMerge w:val="continue"/>
            <w:vAlign w:val="center"/>
          </w:tcPr>
          <w:p/>
        </w:tc>
        <w:tc>
          <w:tcPr>
            <w:tcW w:w="1926" w:type="dxa"/>
            <w:vMerge w:val="continue"/>
            <w:vAlign w:val="center"/>
          </w:tcPr>
          <w:p/>
        </w:tc>
        <w:tc>
          <w:tcPr>
            <w:tcW w:w="8602" w:type="dxa"/>
            <w:shd w:val="clear" w:color="auto" w:fill="auto"/>
            <w:vAlign w:val="center"/>
          </w:tcPr>
          <w:p>
            <w:pPr>
              <w:widowControl/>
              <w:jc w:val="left"/>
              <w:rPr>
                <w:color w:val="000000"/>
                <w:kern w:val="0"/>
                <w:sz w:val="24"/>
                <w:szCs w:val="24"/>
              </w:rPr>
            </w:pPr>
            <w:r>
              <w:rPr>
                <w:color w:val="000000"/>
                <w:kern w:val="0"/>
                <w:sz w:val="24"/>
                <w:szCs w:val="24"/>
              </w:rPr>
              <w:t>（1）属于海关特殊监管区域内</w:t>
            </w:r>
            <w:r>
              <w:rPr>
                <w:rFonts w:hint="eastAsia"/>
                <w:color w:val="000000"/>
                <w:kern w:val="0"/>
                <w:sz w:val="24"/>
                <w:szCs w:val="24"/>
              </w:rPr>
              <w:t>或自由贸易试验区内</w:t>
            </w:r>
            <w:r>
              <w:rPr>
                <w:color w:val="000000"/>
                <w:kern w:val="0"/>
                <w:sz w:val="24"/>
                <w:szCs w:val="24"/>
              </w:rPr>
              <w:t>企业。</w:t>
            </w:r>
          </w:p>
          <w:p>
            <w:pPr>
              <w:widowControl/>
              <w:jc w:val="left"/>
              <w:rPr>
                <w:color w:val="000000"/>
                <w:kern w:val="0"/>
                <w:sz w:val="24"/>
                <w:szCs w:val="24"/>
              </w:rPr>
            </w:pPr>
            <w:r>
              <w:rPr>
                <w:rFonts w:hint="eastAsia"/>
                <w:color w:val="000000"/>
                <w:kern w:val="0"/>
                <w:sz w:val="24"/>
                <w:szCs w:val="24"/>
              </w:rPr>
              <w:t>（2）</w:t>
            </w:r>
            <w:r>
              <w:rPr>
                <w:rFonts w:hint="eastAsia"/>
                <w:kern w:val="0"/>
                <w:sz w:val="24"/>
                <w:szCs w:val="24"/>
              </w:rPr>
              <w:t>经海关机构评定的高级认证企业或一般认证企业。</w:t>
            </w:r>
          </w:p>
          <w:p>
            <w:pPr>
              <w:widowControl/>
              <w:jc w:val="left"/>
              <w:rPr>
                <w:color w:val="000000"/>
                <w:kern w:val="0"/>
                <w:sz w:val="24"/>
                <w:szCs w:val="24"/>
              </w:rPr>
            </w:pPr>
            <w:r>
              <w:rPr>
                <w:rFonts w:hint="eastAsia"/>
                <w:color w:val="000000"/>
                <w:kern w:val="0"/>
                <w:sz w:val="24"/>
                <w:szCs w:val="24"/>
              </w:rPr>
              <w:t>（3）与贸促会签证机构距离较远，办理业务极不便利的企业。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4</w:t>
            </w:r>
            <w:r>
              <w:rPr>
                <w:color w:val="000000"/>
                <w:kern w:val="0"/>
                <w:sz w:val="24"/>
                <w:szCs w:val="24"/>
              </w:rPr>
              <w:t>）属于国家鼓励和扶持的信息技术、节能环保、新能源、高端装备制造、新材料等产业的企业。</w:t>
            </w:r>
          </w:p>
          <w:p>
            <w:pPr>
              <w:widowControl/>
              <w:jc w:val="left"/>
              <w:rPr>
                <w:color w:val="000000"/>
                <w:kern w:val="0"/>
                <w:sz w:val="24"/>
                <w:szCs w:val="24"/>
              </w:rPr>
            </w:pPr>
            <w:r>
              <w:rPr>
                <w:color w:val="000000"/>
                <w:kern w:val="0"/>
                <w:sz w:val="24"/>
                <w:szCs w:val="24"/>
              </w:rPr>
              <w:t>（</w:t>
            </w:r>
            <w:r>
              <w:rPr>
                <w:rFonts w:hint="eastAsia"/>
                <w:color w:val="000000"/>
                <w:kern w:val="0"/>
                <w:sz w:val="24"/>
                <w:szCs w:val="24"/>
              </w:rPr>
              <w:t>5</w:t>
            </w:r>
            <w:r>
              <w:rPr>
                <w:color w:val="000000"/>
                <w:kern w:val="0"/>
                <w:sz w:val="24"/>
                <w:szCs w:val="24"/>
              </w:rPr>
              <w:t>）属于积极配合</w:t>
            </w:r>
            <w:r>
              <w:rPr>
                <w:rFonts w:hint="eastAsia"/>
                <w:color w:val="000000"/>
                <w:kern w:val="0"/>
                <w:sz w:val="24"/>
                <w:szCs w:val="24"/>
              </w:rPr>
              <w:t>贸促会</w:t>
            </w:r>
            <w:r>
              <w:rPr>
                <w:color w:val="000000"/>
                <w:kern w:val="0"/>
                <w:sz w:val="24"/>
                <w:szCs w:val="24"/>
              </w:rPr>
              <w:t>开展</w:t>
            </w:r>
            <w:r>
              <w:rPr>
                <w:rFonts w:hint="eastAsia"/>
                <w:color w:val="000000"/>
                <w:kern w:val="0"/>
                <w:sz w:val="24"/>
                <w:szCs w:val="24"/>
              </w:rPr>
              <w:t>各类业务宣传及管理活动，共同推进贸易便利化</w:t>
            </w:r>
            <w:r>
              <w:rPr>
                <w:color w:val="000000"/>
                <w:kern w:val="0"/>
                <w:sz w:val="24"/>
                <w:szCs w:val="24"/>
              </w:rPr>
              <w:t>的企业。</w:t>
            </w:r>
          </w:p>
          <w:p>
            <w:pPr>
              <w:widowControl/>
              <w:jc w:val="left"/>
              <w:rPr>
                <w:kern w:val="0"/>
                <w:sz w:val="24"/>
                <w:szCs w:val="24"/>
              </w:rPr>
            </w:pPr>
            <w:r>
              <w:rPr>
                <w:rFonts w:hint="eastAsia"/>
                <w:kern w:val="0"/>
                <w:sz w:val="24"/>
                <w:szCs w:val="24"/>
              </w:rPr>
              <w:t>（6）原产地证书申办数量大、频次多，远高于当地平均水平的</w:t>
            </w:r>
            <w:r>
              <w:rPr>
                <w:kern w:val="0"/>
                <w:sz w:val="24"/>
                <w:szCs w:val="24"/>
              </w:rPr>
              <w:t>企业</w:t>
            </w:r>
            <w:r>
              <w:rPr>
                <w:rFonts w:hint="eastAsia"/>
                <w:kern w:val="0"/>
                <w:sz w:val="24"/>
                <w:szCs w:val="24"/>
              </w:rPr>
              <w:t>。</w:t>
            </w:r>
          </w:p>
          <w:p>
            <w:pPr>
              <w:widowControl/>
              <w:jc w:val="left"/>
              <w:rPr>
                <w:kern w:val="0"/>
                <w:sz w:val="24"/>
                <w:szCs w:val="24"/>
              </w:rPr>
            </w:pPr>
            <w:r>
              <w:rPr>
                <w:rFonts w:hint="eastAsia"/>
                <w:kern w:val="0"/>
                <w:sz w:val="24"/>
                <w:szCs w:val="24"/>
              </w:rPr>
              <w:t>（7）</w:t>
            </w:r>
            <w:r>
              <w:rPr>
                <w:kern w:val="0"/>
                <w:sz w:val="24"/>
                <w:szCs w:val="24"/>
              </w:rPr>
              <w:t>系当地贸促会所属国际商会的会员企业。</w:t>
            </w:r>
          </w:p>
          <w:p>
            <w:pPr>
              <w:widowControl/>
              <w:jc w:val="left"/>
              <w:rPr>
                <w:color w:val="FF0000"/>
                <w:kern w:val="0"/>
                <w:sz w:val="24"/>
                <w:szCs w:val="24"/>
              </w:rPr>
            </w:pPr>
            <w:r>
              <w:rPr>
                <w:rFonts w:hint="eastAsia"/>
                <w:kern w:val="0"/>
                <w:sz w:val="24"/>
                <w:szCs w:val="24"/>
              </w:rPr>
              <w:t>（8）当地政府部门重点推荐、支持的企业。</w:t>
            </w:r>
          </w:p>
        </w:tc>
        <w:tc>
          <w:tcPr>
            <w:tcW w:w="745" w:type="dxa"/>
            <w:vMerge w:val="continue"/>
            <w:vAlign w:val="center"/>
          </w:tcPr>
          <w:p/>
        </w:tc>
        <w:tc>
          <w:tcPr>
            <w:tcW w:w="2938" w:type="dxa"/>
            <w:gridSpan w:val="3"/>
            <w:vMerge w:val="continue"/>
            <w:vAlign w:val="center"/>
          </w:tcPr>
          <w:p/>
        </w:tc>
      </w:tr>
    </w:tbl>
    <w:p>
      <w:pPr>
        <w:spacing w:before="156" w:beforeLines="50"/>
        <w:jc w:val="left"/>
        <w:rPr>
          <w:rFonts w:ascii="仿宋_GB2312" w:eastAsia="仿宋_GB2312"/>
          <w:sz w:val="32"/>
          <w:szCs w:val="32"/>
        </w:rPr>
        <w:sectPr>
          <w:pgSz w:w="16838" w:h="11906" w:orient="landscape"/>
          <w:pgMar w:top="1440" w:right="1800" w:bottom="1440" w:left="1800" w:header="851" w:footer="992" w:gutter="0"/>
          <w:pgNumType w:fmt="numberInDash"/>
          <w:cols w:space="425" w:num="1"/>
          <w:docGrid w:type="lines" w:linePitch="312" w:charSpace="0"/>
        </w:sectPr>
      </w:pPr>
    </w:p>
    <w:p>
      <w:pPr>
        <w:spacing w:before="156" w:beforeLines="50"/>
        <w:jc w:val="left"/>
        <w:rPr>
          <w:rFonts w:ascii="黑体" w:hAnsi="黑体" w:eastAsia="黑体"/>
          <w:sz w:val="32"/>
          <w:szCs w:val="32"/>
        </w:rPr>
      </w:pPr>
    </w:p>
    <w:sectPr>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12"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B5"/>
    <w:rsid w:val="0001302D"/>
    <w:rsid w:val="00024B52"/>
    <w:rsid w:val="00055948"/>
    <w:rsid w:val="00073961"/>
    <w:rsid w:val="0011033F"/>
    <w:rsid w:val="00130283"/>
    <w:rsid w:val="00183AB0"/>
    <w:rsid w:val="00185DEB"/>
    <w:rsid w:val="001B7DC2"/>
    <w:rsid w:val="001E1CDE"/>
    <w:rsid w:val="001E58A9"/>
    <w:rsid w:val="001F082F"/>
    <w:rsid w:val="00211319"/>
    <w:rsid w:val="00242370"/>
    <w:rsid w:val="0025774D"/>
    <w:rsid w:val="00286BD6"/>
    <w:rsid w:val="002C09DF"/>
    <w:rsid w:val="002D7C9E"/>
    <w:rsid w:val="002E1A36"/>
    <w:rsid w:val="002E5D4A"/>
    <w:rsid w:val="00306498"/>
    <w:rsid w:val="00325379"/>
    <w:rsid w:val="00380E0F"/>
    <w:rsid w:val="00397DFC"/>
    <w:rsid w:val="003C5B7E"/>
    <w:rsid w:val="003E00CE"/>
    <w:rsid w:val="00414F6D"/>
    <w:rsid w:val="00432129"/>
    <w:rsid w:val="0044494D"/>
    <w:rsid w:val="00475C93"/>
    <w:rsid w:val="0049692B"/>
    <w:rsid w:val="004B370D"/>
    <w:rsid w:val="004F4861"/>
    <w:rsid w:val="0055050C"/>
    <w:rsid w:val="00577383"/>
    <w:rsid w:val="0059163B"/>
    <w:rsid w:val="005940B5"/>
    <w:rsid w:val="005C5E8D"/>
    <w:rsid w:val="006021A9"/>
    <w:rsid w:val="00696F17"/>
    <w:rsid w:val="006B18C1"/>
    <w:rsid w:val="006B7F7F"/>
    <w:rsid w:val="006C4D18"/>
    <w:rsid w:val="00700B1F"/>
    <w:rsid w:val="00753449"/>
    <w:rsid w:val="00794001"/>
    <w:rsid w:val="007B1192"/>
    <w:rsid w:val="007F7D17"/>
    <w:rsid w:val="00823286"/>
    <w:rsid w:val="0087003C"/>
    <w:rsid w:val="00881DC0"/>
    <w:rsid w:val="008870D8"/>
    <w:rsid w:val="00894439"/>
    <w:rsid w:val="008A04DE"/>
    <w:rsid w:val="008A058E"/>
    <w:rsid w:val="008D2C65"/>
    <w:rsid w:val="008F6564"/>
    <w:rsid w:val="009337D3"/>
    <w:rsid w:val="009652AD"/>
    <w:rsid w:val="00967139"/>
    <w:rsid w:val="009A4601"/>
    <w:rsid w:val="009D00EA"/>
    <w:rsid w:val="009E4421"/>
    <w:rsid w:val="00A05D6B"/>
    <w:rsid w:val="00A12978"/>
    <w:rsid w:val="00A51414"/>
    <w:rsid w:val="00A73A4D"/>
    <w:rsid w:val="00A77F90"/>
    <w:rsid w:val="00A90015"/>
    <w:rsid w:val="00AC14D1"/>
    <w:rsid w:val="00B06BC8"/>
    <w:rsid w:val="00B27517"/>
    <w:rsid w:val="00B3287A"/>
    <w:rsid w:val="00B67446"/>
    <w:rsid w:val="00B8319D"/>
    <w:rsid w:val="00B84BE6"/>
    <w:rsid w:val="00BD0D4C"/>
    <w:rsid w:val="00BE2A88"/>
    <w:rsid w:val="00BE7F58"/>
    <w:rsid w:val="00BF6E10"/>
    <w:rsid w:val="00BF7F1E"/>
    <w:rsid w:val="00C175D7"/>
    <w:rsid w:val="00C34381"/>
    <w:rsid w:val="00C54DBC"/>
    <w:rsid w:val="00CF6514"/>
    <w:rsid w:val="00D01421"/>
    <w:rsid w:val="00D23FC3"/>
    <w:rsid w:val="00D42A2B"/>
    <w:rsid w:val="00D53696"/>
    <w:rsid w:val="00D754A4"/>
    <w:rsid w:val="00D900B1"/>
    <w:rsid w:val="00DC2C34"/>
    <w:rsid w:val="00E51297"/>
    <w:rsid w:val="00E94DD2"/>
    <w:rsid w:val="00EB74A6"/>
    <w:rsid w:val="00EC0D21"/>
    <w:rsid w:val="00ED5EB3"/>
    <w:rsid w:val="00ED799B"/>
    <w:rsid w:val="00EE649B"/>
    <w:rsid w:val="00EF6FD8"/>
    <w:rsid w:val="00F17DA0"/>
    <w:rsid w:val="00F20339"/>
    <w:rsid w:val="00F3319F"/>
    <w:rsid w:val="00F84582"/>
    <w:rsid w:val="00FF2968"/>
    <w:rsid w:val="53B5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3534</Words>
  <Characters>3579</Characters>
  <Lines>30</Lines>
  <Paragraphs>8</Paragraphs>
  <TotalTime>1</TotalTime>
  <ScaleCrop>false</ScaleCrop>
  <LinksUpToDate>false</LinksUpToDate>
  <CharactersWithSpaces>3860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2018-06-13T06:40:00Z</dcterms:created>
  <dc:creator>suntingting</dc:creator>
  <cp:lastModifiedBy>lenovo</cp:lastModifiedBy>
  <cp:lastPrinted>2018-06-12T08:33:00Z</cp:lastPrinted>
  <dcterms:modified xsi:type="dcterms:W3CDTF">2021-09-27T09:40:07Z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C7F74D965260408A90B7168B13B95C4F</vt:lpwstr>
  </property>
</Properties>
</file>